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0"/>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新疆维吾尔自治区艺术研究所（新疆维吾尔自治区非物质文化遗产保护中心）</w:t>
      </w:r>
    </w:p>
    <w:p>
      <w:pPr>
        <w:keepNext w:val="0"/>
        <w:keepLines w:val="0"/>
        <w:pageBreakBefore w:val="0"/>
        <w:widowControl/>
        <w:kinsoku/>
        <w:wordWrap/>
        <w:overflowPunct/>
        <w:topLinePunct w:val="0"/>
        <w:autoSpaceDE/>
        <w:autoSpaceDN/>
        <w:bidi w:val="0"/>
        <w:adjustRightInd/>
        <w:snapToGrid/>
        <w:spacing w:after="0" w:line="240" w:lineRule="auto"/>
        <w:jc w:val="center"/>
        <w:textAlignment w:val="auto"/>
        <w:outlineLvl w:val="0"/>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2024年度部门决算公开说明</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br w:type="page"/>
      </w:r>
    </w:p>
    <w:p>
      <w:pPr>
        <w:keepNext w:val="0"/>
        <w:keepLines w:val="0"/>
        <w:pageBreakBefore w:val="0"/>
        <w:widowControl/>
        <w:kinsoku/>
        <w:wordWrap/>
        <w:overflowPunct/>
        <w:topLinePunct w:val="0"/>
        <w:autoSpaceDE/>
        <w:autoSpaceDN/>
        <w:bidi w:val="0"/>
        <w:adjustRightInd/>
        <w:snapToGrid/>
        <w:spacing w:after="0" w:line="580" w:lineRule="exact"/>
        <w:jc w:val="center"/>
        <w:textAlignment w:val="auto"/>
        <w:rPr>
          <w:rFonts w:hint="eastAsia" w:ascii="仿宋_GB2312" w:hAnsi="仿宋_GB2312" w:eastAsia="仿宋_GB2312" w:cs="仿宋_GB2312"/>
          <w:sz w:val="36"/>
          <w:szCs w:val="36"/>
          <w:lang w:eastAsia="zh-CN"/>
        </w:rPr>
      </w:pPr>
      <w:r>
        <w:rPr>
          <w:rFonts w:hint="eastAsia" w:ascii="仿宋_GB2312" w:hAnsi="仿宋_GB2312" w:eastAsia="仿宋_GB2312" w:cs="仿宋_GB2312"/>
          <w:b/>
          <w:sz w:val="36"/>
          <w:szCs w:val="36"/>
          <w:lang w:eastAsia="zh-CN"/>
        </w:rPr>
        <w:t>目</w:t>
      </w:r>
      <w:r>
        <w:rPr>
          <w:rFonts w:hint="eastAsia" w:ascii="仿宋_GB2312" w:hAnsi="仿宋_GB2312" w:eastAsia="仿宋_GB2312" w:cs="仿宋_GB2312"/>
          <w:b/>
          <w:sz w:val="36"/>
          <w:szCs w:val="36"/>
          <w:lang w:val="en-US" w:eastAsia="zh-CN"/>
        </w:rPr>
        <w:t xml:space="preserve"> </w:t>
      </w:r>
      <w:r>
        <w:rPr>
          <w:rFonts w:hint="eastAsia" w:ascii="仿宋_GB2312" w:hAnsi="仿宋_GB2312" w:eastAsia="仿宋_GB2312" w:cs="仿宋_GB2312"/>
          <w:b/>
          <w:sz w:val="36"/>
          <w:szCs w:val="36"/>
          <w:lang w:eastAsia="zh-CN"/>
        </w:rPr>
        <w:t>录</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第一部分 单位概况</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一、主要职能</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二、机构设置及人员情况</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第二部分 部门决算情况说明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一、收入支出决算总体情况说明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二、收入决算情况说明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三、支出决算情况说明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四、财政拨款收入支出决算总体情况说明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九、财政拨款“三公”经费支出决算情况说明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十、其他重要事项的情况说明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（一）机关运行经费及公用经费支出情况</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（二）政府采购情况</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（三）国有资产占用情况说明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十一、预算绩效的情况说明</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十二、其他需说明的事项</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第三部分</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lang w:eastAsia="zh-CN"/>
        </w:rPr>
        <w:t>专业名词解释</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sz w:val="32"/>
          <w:szCs w:val="32"/>
          <w:lang w:eastAsia="zh-CN"/>
        </w:rPr>
        <w:t>第四部分</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lang w:eastAsia="zh-CN"/>
        </w:rPr>
        <w:t>部门决算报表</w:t>
      </w:r>
      <w:r>
        <w:rPr>
          <w:rFonts w:hint="eastAsia" w:ascii="仿宋_GB2312" w:hAnsi="仿宋_GB2312" w:eastAsia="仿宋_GB2312" w:cs="仿宋_GB2312"/>
          <w:b/>
          <w:bCs/>
          <w:sz w:val="32"/>
          <w:szCs w:val="32"/>
          <w:highlight w:val="none"/>
        </w:rPr>
        <w:t>（见附</w:t>
      </w:r>
      <w:r>
        <w:rPr>
          <w:rFonts w:hint="eastAsia" w:ascii="仿宋_GB2312" w:hAnsi="仿宋_GB2312" w:eastAsia="仿宋_GB2312" w:cs="仿宋_GB2312"/>
          <w:b/>
          <w:bCs/>
          <w:sz w:val="32"/>
          <w:szCs w:val="32"/>
          <w:highlight w:val="none"/>
          <w:lang w:val="en-US" w:eastAsia="zh-CN"/>
        </w:rPr>
        <w:t>件1</w:t>
      </w:r>
      <w:r>
        <w:rPr>
          <w:rFonts w:hint="eastAsia" w:ascii="仿宋_GB2312" w:hAnsi="仿宋_GB2312" w:eastAsia="仿宋_GB2312" w:cs="仿宋_GB2312"/>
          <w:b/>
          <w:bCs/>
          <w:sz w:val="32"/>
          <w:szCs w:val="32"/>
          <w:highlight w:val="none"/>
        </w:rPr>
        <w:t>）</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一、《收入支出决算总表》</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二、《收入决算表》</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三、《支出决算表》</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四、《财政拨款收入支出决算总表》</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五、《一般公共预算财政拨款支出决算表》</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六、《一般公共预算财政拨款基本支出决算表》</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九、《财政拨款“三公”经费支出决算表》</w:t>
      </w: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b/>
          <w:sz w:val="32"/>
          <w:szCs w:val="32"/>
          <w:lang w:eastAsia="zh-CN"/>
        </w:rPr>
      </w:pPr>
    </w:p>
    <w:p>
      <w:pPr>
        <w:keepNext w:val="0"/>
        <w:keepLines w:val="0"/>
        <w:pageBreakBefore w:val="0"/>
        <w:widowControl/>
        <w:kinsoku/>
        <w:wordWrap/>
        <w:overflowPunct/>
        <w:topLinePunct w:val="0"/>
        <w:autoSpaceDE/>
        <w:autoSpaceDN/>
        <w:bidi w:val="0"/>
        <w:adjustRightInd/>
        <w:snapToGrid/>
        <w:spacing w:after="0" w:line="58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br w:type="page"/>
      </w:r>
    </w:p>
    <w:p>
      <w:pPr>
        <w:keepNext w:val="0"/>
        <w:keepLines w:val="0"/>
        <w:pageBreakBefore w:val="0"/>
        <w:widowControl/>
        <w:kinsoku/>
        <w:wordWrap/>
        <w:overflowPunct/>
        <w:topLinePunct w:val="0"/>
        <w:autoSpaceDE/>
        <w:autoSpaceDN/>
        <w:bidi w:val="0"/>
        <w:adjustRightInd/>
        <w:snapToGrid/>
        <w:spacing w:after="0" w:line="580" w:lineRule="exact"/>
        <w:jc w:val="center"/>
        <w:textAlignment w:val="auto"/>
        <w:outlineLvl w:val="0"/>
        <w:rPr>
          <w:rFonts w:hint="eastAsia"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eastAsia="zh-CN"/>
        </w:rPr>
        <w:t xml:space="preserve"> </w:t>
      </w:r>
      <w:r>
        <w:rPr>
          <w:rFonts w:ascii="黑体" w:eastAsia="黑体"/>
          <w:sz w:val="32"/>
          <w:szCs w:val="32"/>
          <w:lang w:eastAsia="zh-CN"/>
        </w:rPr>
        <w:t>单位概况</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黑体" w:eastAsia="黑体"/>
          <w:sz w:val="32"/>
          <w:szCs w:val="32"/>
          <w:lang w:eastAsia="zh-CN"/>
        </w:rPr>
      </w:pPr>
      <w:r>
        <w:rPr>
          <w:rFonts w:ascii="黑体" w:eastAsia="黑体"/>
          <w:sz w:val="32"/>
          <w:szCs w:val="32"/>
          <w:lang w:eastAsia="zh-CN"/>
        </w:rPr>
        <w:t>一、主要职能</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kern w:val="13"/>
          <w:sz w:val="32"/>
          <w:szCs w:val="32"/>
          <w:lang w:eastAsia="zh-CN"/>
        </w:rPr>
      </w:pPr>
      <w:r>
        <w:rPr>
          <w:rFonts w:hint="eastAsia" w:ascii="仿宋_GB2312" w:eastAsia="仿宋_GB2312"/>
          <w:kern w:val="13"/>
          <w:sz w:val="32"/>
          <w:szCs w:val="32"/>
          <w:lang w:eastAsia="zh-CN"/>
        </w:rPr>
        <w:t>新疆维吾尔自治区艺术研究所</w:t>
      </w:r>
      <w:r>
        <w:rPr>
          <w:rFonts w:ascii="仿宋_GB2312" w:eastAsia="仿宋_GB2312"/>
          <w:sz w:val="32"/>
          <w:szCs w:val="32"/>
          <w:lang w:eastAsia="zh-CN"/>
        </w:rPr>
        <w:t>（新疆维吾尔自治区非物质文化遗产保护中心）</w:t>
      </w:r>
      <w:r>
        <w:rPr>
          <w:rFonts w:hint="eastAsia" w:ascii="仿宋_GB2312" w:eastAsia="仿宋_GB2312"/>
          <w:kern w:val="13"/>
          <w:sz w:val="32"/>
          <w:szCs w:val="32"/>
          <w:lang w:eastAsia="zh-CN"/>
        </w:rPr>
        <w:t>主要职责：承担收集、整理、保护及开发利用新疆文化艺术资源工作；承担文化艺术理论研究和文化艺术交流等工作。</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黑体" w:eastAsia="黑体"/>
          <w:sz w:val="32"/>
          <w:szCs w:val="32"/>
          <w:lang w:eastAsia="zh-CN"/>
        </w:rPr>
      </w:pPr>
      <w:r>
        <w:rPr>
          <w:rFonts w:ascii="黑体" w:eastAsia="黑体"/>
          <w:sz w:val="32"/>
          <w:szCs w:val="32"/>
          <w:lang w:eastAsia="zh-CN"/>
        </w:rPr>
        <w:t>二、机构设置及人员情况</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lang w:eastAsia="zh-CN"/>
        </w:rPr>
        <w:t>新疆维吾尔自治区艺术研究所（新疆维吾尔自治区非物质文化遗产保护中心）2024年度，实有人数50人，其中：在职人员29人，减少2人；离休人员0人，增加</w:t>
      </w:r>
      <w:r>
        <w:rPr>
          <w:rFonts w:hint="eastAsia" w:ascii="仿宋_GB2312" w:eastAsia="仿宋_GB2312"/>
          <w:sz w:val="32"/>
          <w:szCs w:val="32"/>
          <w:lang w:val="en-US" w:eastAsia="zh-CN"/>
        </w:rPr>
        <w:t>0</w:t>
      </w:r>
      <w:r>
        <w:rPr>
          <w:rFonts w:ascii="仿宋_GB2312" w:eastAsia="仿宋_GB2312"/>
          <w:sz w:val="32"/>
          <w:szCs w:val="32"/>
          <w:lang w:eastAsia="zh-CN"/>
        </w:rPr>
        <w:t>人；退休人员21人，增加1人。</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lang w:eastAsia="zh-CN"/>
        </w:rPr>
        <w:t>新疆维吾尔自治区艺术研究所（新疆维吾尔自治区非物质文化遗产保护中心）无下属预算单位，下设</w:t>
      </w:r>
      <w:r>
        <w:rPr>
          <w:rFonts w:hint="eastAsia" w:ascii="仿宋_GB2312" w:eastAsia="仿宋_GB2312"/>
          <w:sz w:val="32"/>
          <w:szCs w:val="32"/>
          <w:lang w:eastAsia="zh-CN"/>
        </w:rPr>
        <w:t>6</w:t>
      </w:r>
      <w:r>
        <w:rPr>
          <w:rFonts w:ascii="仿宋_GB2312" w:eastAsia="仿宋_GB2312"/>
          <w:sz w:val="32"/>
          <w:szCs w:val="32"/>
          <w:lang w:eastAsia="zh-CN"/>
        </w:rPr>
        <w:t>个</w:t>
      </w:r>
      <w:r>
        <w:rPr>
          <w:rFonts w:hint="eastAsia" w:ascii="仿宋_GB2312" w:eastAsia="仿宋_GB2312"/>
          <w:sz w:val="32"/>
          <w:szCs w:val="32"/>
          <w:lang w:val="en-US" w:eastAsia="zh-CN"/>
        </w:rPr>
        <w:t>科</w:t>
      </w:r>
      <w:r>
        <w:rPr>
          <w:rFonts w:hint="eastAsia" w:ascii="仿宋_GB2312" w:eastAsia="仿宋_GB2312"/>
          <w:sz w:val="32"/>
          <w:szCs w:val="32"/>
          <w:lang w:eastAsia="zh-CN"/>
        </w:rPr>
        <w:t>室</w:t>
      </w:r>
      <w:r>
        <w:rPr>
          <w:rFonts w:ascii="仿宋_GB2312" w:eastAsia="仿宋_GB2312"/>
          <w:sz w:val="32"/>
          <w:szCs w:val="32"/>
          <w:lang w:eastAsia="zh-CN"/>
        </w:rPr>
        <w:t>，分别是：</w:t>
      </w:r>
      <w:r>
        <w:rPr>
          <w:rFonts w:hint="eastAsia" w:ascii="仿宋_GB2312" w:eastAsia="仿宋_GB2312"/>
          <w:sz w:val="32"/>
          <w:szCs w:val="32"/>
          <w:lang w:eastAsia="zh-CN"/>
        </w:rPr>
        <w:t>办公室、研究部、保护部、艺术档案部、推广联络部、编辑部</w:t>
      </w:r>
      <w:r>
        <w:rPr>
          <w:rFonts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line="580" w:lineRule="exact"/>
        <w:textAlignment w:val="auto"/>
        <w:rPr>
          <w:rFonts w:hint="eastAsia"/>
          <w:lang w:eastAsia="zh-CN"/>
        </w:rPr>
      </w:pPr>
      <w:r>
        <w:rPr>
          <w:sz w:val="0"/>
          <w:szCs w:val="0"/>
          <w:lang w:eastAsia="zh-CN"/>
        </w:rPr>
        <w:br w:type="page"/>
      </w:r>
    </w:p>
    <w:p>
      <w:pPr>
        <w:keepNext w:val="0"/>
        <w:keepLines w:val="0"/>
        <w:pageBreakBefore w:val="0"/>
        <w:widowControl/>
        <w:kinsoku/>
        <w:wordWrap/>
        <w:overflowPunct/>
        <w:topLinePunct w:val="0"/>
        <w:autoSpaceDE/>
        <w:autoSpaceDN/>
        <w:bidi w:val="0"/>
        <w:adjustRightInd/>
        <w:snapToGrid/>
        <w:spacing w:after="0" w:line="580" w:lineRule="exact"/>
        <w:jc w:val="center"/>
        <w:textAlignment w:val="auto"/>
        <w:outlineLvl w:val="0"/>
        <w:rPr>
          <w:rFonts w:hint="eastAsia" w:ascii="黑体" w:eastAsia="黑体"/>
          <w:sz w:val="32"/>
          <w:szCs w:val="32"/>
          <w:lang w:eastAsia="zh-CN"/>
        </w:rPr>
      </w:pPr>
      <w:r>
        <w:rPr>
          <w:rFonts w:ascii="黑体" w:eastAsia="黑体"/>
          <w:sz w:val="32"/>
          <w:szCs w:val="32"/>
          <w:lang w:eastAsia="zh-CN"/>
        </w:rPr>
        <w:t>第二部分</w:t>
      </w:r>
      <w:r>
        <w:rPr>
          <w:rFonts w:hint="eastAsia" w:ascii="黑体" w:eastAsia="黑体"/>
          <w:sz w:val="32"/>
          <w:szCs w:val="32"/>
          <w:lang w:eastAsia="zh-CN"/>
        </w:rPr>
        <w:t xml:space="preserve"> </w:t>
      </w:r>
      <w:r>
        <w:rPr>
          <w:rFonts w:ascii="黑体" w:eastAsia="黑体"/>
          <w:sz w:val="32"/>
          <w:szCs w:val="32"/>
          <w:lang w:eastAsia="zh-CN"/>
        </w:rPr>
        <w:t>部门决算情况说明</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bCs/>
          <w:sz w:val="32"/>
          <w:szCs w:val="32"/>
          <w:lang w:eastAsia="zh-CN"/>
        </w:rPr>
        <w:t>2024年度收入总计1,878.64万元，</w:t>
      </w:r>
      <w:r>
        <w:rPr>
          <w:rFonts w:ascii="仿宋_GB2312" w:eastAsia="仿宋_GB2312"/>
          <w:sz w:val="32"/>
          <w:szCs w:val="32"/>
          <w:lang w:eastAsia="zh-CN"/>
        </w:rPr>
        <w:t>其中：本年收入合计1,810.57万元，使用非财政拨款结余（含专用结余）0.00万元，年初结转和结余68.07万元。</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bCs/>
          <w:sz w:val="32"/>
          <w:szCs w:val="32"/>
          <w:lang w:eastAsia="zh-CN"/>
        </w:rPr>
        <w:t>2024年度支出总计1,878.64万元，</w:t>
      </w:r>
      <w:r>
        <w:rPr>
          <w:rFonts w:ascii="仿宋_GB2312" w:eastAsia="仿宋_GB2312"/>
          <w:sz w:val="32"/>
          <w:szCs w:val="32"/>
          <w:lang w:eastAsia="zh-CN"/>
        </w:rPr>
        <w:t>其中：本年支出合计1,844.47万元，结余分配0.00万元，年末结转和结余34.17万元。</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bCs/>
          <w:sz w:val="32"/>
          <w:szCs w:val="32"/>
          <w:lang w:eastAsia="zh-CN"/>
        </w:rPr>
        <w:t>收入支出总体与上年相比，</w:t>
      </w:r>
      <w:r>
        <w:rPr>
          <w:rFonts w:ascii="仿宋_GB2312" w:eastAsia="仿宋_GB2312"/>
          <w:sz w:val="32"/>
          <w:szCs w:val="32"/>
          <w:lang w:eastAsia="zh-CN"/>
        </w:rPr>
        <w:t>减少98.51万元，下降4.98%，主要原因是：</w:t>
      </w:r>
      <w:r>
        <w:rPr>
          <w:rFonts w:hint="eastAsia" w:ascii="仿宋_GB2312" w:eastAsia="仿宋_GB2312"/>
          <w:sz w:val="32"/>
          <w:szCs w:val="32"/>
          <w:lang w:val="en-US" w:eastAsia="zh-CN"/>
        </w:rPr>
        <w:t>一是</w:t>
      </w:r>
      <w:r>
        <w:rPr>
          <w:rFonts w:hint="eastAsia" w:ascii="仿宋_GB2312" w:eastAsia="仿宋_GB2312"/>
          <w:sz w:val="32"/>
          <w:szCs w:val="32"/>
          <w:lang w:eastAsia="zh-CN"/>
        </w:rPr>
        <w:t>我单位本年度</w:t>
      </w:r>
      <w:r>
        <w:rPr>
          <w:rFonts w:hint="eastAsia" w:ascii="仿宋_GB2312" w:eastAsia="仿宋_GB2312"/>
          <w:sz w:val="32"/>
          <w:szCs w:val="32"/>
          <w:lang w:val="en-US" w:eastAsia="zh-CN"/>
        </w:rPr>
        <w:t>国家非物质文化遗产保护项目</w:t>
      </w:r>
      <w:r>
        <w:rPr>
          <w:rFonts w:hint="eastAsia" w:ascii="仿宋_GB2312" w:eastAsia="仿宋_GB2312"/>
          <w:sz w:val="32"/>
          <w:szCs w:val="32"/>
          <w:lang w:eastAsia="zh-CN"/>
        </w:rPr>
        <w:t>、</w:t>
      </w:r>
      <w:r>
        <w:rPr>
          <w:rFonts w:hint="eastAsia" w:ascii="仿宋_GB2312" w:eastAsia="仿宋_GB2312"/>
          <w:sz w:val="32"/>
          <w:szCs w:val="32"/>
          <w:lang w:val="en-US" w:eastAsia="zh-CN"/>
        </w:rPr>
        <w:t>自治区非物质文化遗产保护项目</w:t>
      </w:r>
      <w:r>
        <w:rPr>
          <w:rFonts w:hint="eastAsia" w:ascii="仿宋_GB2312" w:eastAsia="仿宋_GB2312"/>
          <w:sz w:val="32"/>
          <w:szCs w:val="32"/>
          <w:lang w:eastAsia="zh-CN"/>
        </w:rPr>
        <w:t>经费</w:t>
      </w:r>
      <w:r>
        <w:rPr>
          <w:rFonts w:hint="eastAsia" w:ascii="仿宋_GB2312" w:eastAsia="仿宋_GB2312"/>
          <w:sz w:val="32"/>
          <w:szCs w:val="32"/>
          <w:lang w:val="en-US" w:eastAsia="zh-CN"/>
        </w:rPr>
        <w:t>较上年</w:t>
      </w:r>
      <w:r>
        <w:rPr>
          <w:rFonts w:hint="eastAsia" w:ascii="仿宋_GB2312" w:eastAsia="仿宋_GB2312"/>
          <w:sz w:val="32"/>
          <w:szCs w:val="32"/>
          <w:lang w:eastAsia="zh-CN"/>
        </w:rPr>
        <w:t>减少；</w:t>
      </w:r>
      <w:r>
        <w:rPr>
          <w:rFonts w:hint="eastAsia" w:ascii="仿宋_GB2312" w:eastAsia="仿宋_GB2312"/>
          <w:sz w:val="32"/>
          <w:szCs w:val="32"/>
          <w:lang w:val="en-US" w:eastAsia="zh-CN"/>
        </w:rPr>
        <w:t>二是本年其他收入较上年</w:t>
      </w:r>
      <w:r>
        <w:rPr>
          <w:rFonts w:hint="eastAsia" w:ascii="仿宋_GB2312" w:eastAsia="仿宋_GB2312"/>
          <w:sz w:val="32"/>
          <w:szCs w:val="32"/>
          <w:lang w:eastAsia="zh-CN"/>
        </w:rPr>
        <w:t>减少</w:t>
      </w:r>
      <w:r>
        <w:rPr>
          <w:rFonts w:ascii="仿宋_GB2312" w:eastAsia="仿宋_GB2312"/>
          <w:sz w:val="32"/>
          <w:szCs w:val="32"/>
          <w:lang w:eastAsia="zh-CN"/>
        </w:rPr>
        <w:t>。</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黑体" w:eastAsia="黑体"/>
          <w:sz w:val="32"/>
          <w:szCs w:val="32"/>
          <w:lang w:eastAsia="zh-CN"/>
        </w:rPr>
      </w:pPr>
      <w:r>
        <w:rPr>
          <w:rFonts w:ascii="黑体" w:eastAsia="黑体"/>
          <w:sz w:val="32"/>
          <w:szCs w:val="32"/>
          <w:lang w:eastAsia="zh-CN"/>
        </w:rPr>
        <w:t>二、收入决算情况说明</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bCs/>
          <w:sz w:val="32"/>
          <w:szCs w:val="32"/>
          <w:lang w:eastAsia="zh-CN"/>
        </w:rPr>
        <w:t>本年收入1,810.57万元，</w:t>
      </w:r>
      <w:r>
        <w:rPr>
          <w:rFonts w:ascii="仿宋_GB2312" w:eastAsia="仿宋_GB2312"/>
          <w:sz w:val="32"/>
          <w:szCs w:val="32"/>
          <w:lang w:eastAsia="zh-CN"/>
        </w:rPr>
        <w:t>其中：财政拨款收入1,799.10万元,占99.37%；上级补助收入0.00万元,占0.00%；事业收入0.00万元，占0.00%；经营收入0.00万元,占0.00%；附属单位上缴收入0.00万元，占0.00%；其他收入11.47万元，占0.63%。</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黑体" w:eastAsia="黑体"/>
          <w:sz w:val="32"/>
          <w:szCs w:val="32"/>
          <w:lang w:eastAsia="zh-CN"/>
        </w:rPr>
      </w:pPr>
      <w:r>
        <w:rPr>
          <w:rFonts w:ascii="黑体" w:eastAsia="黑体"/>
          <w:sz w:val="32"/>
          <w:szCs w:val="32"/>
          <w:lang w:eastAsia="zh-CN"/>
        </w:rPr>
        <w:t>三、支出决算情况说明</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bCs/>
          <w:sz w:val="32"/>
          <w:szCs w:val="32"/>
          <w:lang w:eastAsia="zh-CN"/>
        </w:rPr>
        <w:t>本年支出1,844.47万元，</w:t>
      </w:r>
      <w:r>
        <w:rPr>
          <w:rFonts w:ascii="仿宋_GB2312" w:eastAsia="仿宋_GB2312"/>
          <w:sz w:val="32"/>
          <w:szCs w:val="32"/>
          <w:lang w:eastAsia="zh-CN"/>
        </w:rPr>
        <w:t>其中：基本支出770.77万元，占41.79%；项目支出1,073.70万元，占58.21%；上缴上级支出0.00万元，占0.00%；经营支出0.00万元，占0.00%；对附属单位补助支出0.00万元，占0.00%。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bCs/>
          <w:sz w:val="32"/>
          <w:szCs w:val="32"/>
          <w:lang w:eastAsia="zh-CN"/>
        </w:rPr>
        <w:t>2024年度财政拨款收入总计1,799.10万元，</w:t>
      </w:r>
      <w:r>
        <w:rPr>
          <w:rFonts w:ascii="仿宋_GB2312" w:eastAsia="仿宋_GB2312"/>
          <w:sz w:val="32"/>
          <w:szCs w:val="32"/>
          <w:lang w:eastAsia="zh-CN"/>
        </w:rPr>
        <w:t>其中：年初财政拨款结转和结余0.00万元，本年财政拨款收入1,799.10万元。</w:t>
      </w:r>
      <w:r>
        <w:rPr>
          <w:rFonts w:ascii="仿宋_GB2312" w:eastAsia="仿宋_GB2312"/>
          <w:b/>
          <w:bCs/>
          <w:sz w:val="32"/>
          <w:szCs w:val="32"/>
          <w:lang w:eastAsia="zh-CN"/>
        </w:rPr>
        <w:t>财政拨款支出总计1,799.10万元，</w:t>
      </w:r>
      <w:r>
        <w:rPr>
          <w:rFonts w:ascii="仿宋_GB2312" w:eastAsia="仿宋_GB2312"/>
          <w:sz w:val="32"/>
          <w:szCs w:val="32"/>
          <w:lang w:eastAsia="zh-CN"/>
        </w:rPr>
        <w:t>其中：年末财政拨款结转和结余0.00万元，本年财政拨款支出1,799.10万元。</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highlight w:val="yellow"/>
          <w:lang w:eastAsia="zh-CN"/>
        </w:rPr>
      </w:pPr>
      <w:r>
        <w:rPr>
          <w:rFonts w:ascii="仿宋_GB2312" w:eastAsia="仿宋_GB2312"/>
          <w:b/>
          <w:bCs/>
          <w:sz w:val="32"/>
          <w:szCs w:val="32"/>
          <w:lang w:eastAsia="zh-CN"/>
        </w:rPr>
        <w:t>财政拨款收入支出总体与上年相比，</w:t>
      </w:r>
      <w:r>
        <w:rPr>
          <w:rFonts w:ascii="仿宋_GB2312" w:eastAsia="仿宋_GB2312"/>
          <w:sz w:val="32"/>
          <w:szCs w:val="32"/>
          <w:lang w:eastAsia="zh-CN"/>
        </w:rPr>
        <w:t>减少50.72万元，下降2.74%，主要原因是：</w:t>
      </w:r>
      <w:r>
        <w:rPr>
          <w:rFonts w:hint="eastAsia" w:ascii="仿宋_GB2312" w:eastAsia="仿宋_GB2312"/>
          <w:sz w:val="32"/>
          <w:szCs w:val="32"/>
          <w:highlight w:val="none"/>
          <w:lang w:eastAsia="zh-CN"/>
        </w:rPr>
        <w:t>我单位本年度</w:t>
      </w:r>
      <w:r>
        <w:rPr>
          <w:rFonts w:hint="eastAsia" w:ascii="仿宋_GB2312" w:eastAsia="仿宋_GB2312"/>
          <w:sz w:val="32"/>
          <w:szCs w:val="32"/>
          <w:highlight w:val="none"/>
          <w:lang w:val="en-US" w:eastAsia="zh-CN"/>
        </w:rPr>
        <w:t>国家非物质文化遗产保护项目</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自治区非物质文化遗产保护项目</w:t>
      </w:r>
      <w:r>
        <w:rPr>
          <w:rFonts w:hint="eastAsia" w:ascii="仿宋_GB2312" w:eastAsia="仿宋_GB2312"/>
          <w:sz w:val="32"/>
          <w:szCs w:val="32"/>
          <w:highlight w:val="none"/>
          <w:lang w:eastAsia="zh-CN"/>
        </w:rPr>
        <w:t>经费</w:t>
      </w:r>
      <w:r>
        <w:rPr>
          <w:rFonts w:hint="eastAsia" w:ascii="仿宋_GB2312" w:eastAsia="仿宋_GB2312"/>
          <w:sz w:val="32"/>
          <w:szCs w:val="32"/>
          <w:highlight w:val="none"/>
          <w:lang w:val="en-US" w:eastAsia="zh-CN"/>
        </w:rPr>
        <w:t>较上年</w:t>
      </w:r>
      <w:r>
        <w:rPr>
          <w:rFonts w:hint="eastAsia" w:ascii="仿宋_GB2312" w:eastAsia="仿宋_GB2312"/>
          <w:sz w:val="32"/>
          <w:szCs w:val="32"/>
          <w:highlight w:val="none"/>
          <w:lang w:eastAsia="zh-CN"/>
        </w:rPr>
        <w:t>减少</w:t>
      </w:r>
      <w:r>
        <w:rPr>
          <w:rFonts w:ascii="仿宋_GB2312" w:eastAsia="仿宋_GB2312"/>
          <w:sz w:val="32"/>
          <w:szCs w:val="32"/>
          <w:highlight w:val="none"/>
          <w:lang w:eastAsia="zh-CN"/>
        </w:rPr>
        <w:t>。</w:t>
      </w:r>
      <w:r>
        <w:rPr>
          <w:rFonts w:ascii="仿宋_GB2312" w:eastAsia="仿宋_GB2312"/>
          <w:b/>
          <w:bCs/>
          <w:sz w:val="32"/>
          <w:szCs w:val="32"/>
          <w:lang w:eastAsia="zh-CN"/>
        </w:rPr>
        <w:t>与年初预算相比，</w:t>
      </w:r>
      <w:r>
        <w:rPr>
          <w:rFonts w:ascii="仿宋_GB2312" w:eastAsia="仿宋_GB2312"/>
          <w:sz w:val="32"/>
          <w:szCs w:val="32"/>
          <w:highlight w:val="none"/>
          <w:lang w:eastAsia="zh-CN"/>
        </w:rPr>
        <w:t>年初预算数1,885.24万元，决算数1,799.10万元，预决算差异率-4.57%，主要原因是：</w:t>
      </w:r>
      <w:r>
        <w:rPr>
          <w:rFonts w:hint="eastAsia" w:ascii="仿宋_GB2312" w:eastAsia="仿宋_GB2312"/>
          <w:sz w:val="32"/>
          <w:szCs w:val="32"/>
          <w:highlight w:val="none"/>
          <w:lang w:val="en-US" w:eastAsia="zh-CN"/>
        </w:rPr>
        <w:t>2024年国家非物质文化遗产保护项目支出较上年减少，剩余资金结转至2025年</w:t>
      </w:r>
      <w:r>
        <w:rPr>
          <w:rFonts w:ascii="仿宋_GB2312" w:eastAsia="仿宋_GB231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textAlignment w:val="auto"/>
        <w:outlineLvl w:val="2"/>
        <w:rPr>
          <w:rFonts w:hint="eastAsia" w:ascii="仿宋_GB2312" w:eastAsia="仿宋_GB2312"/>
          <w:sz w:val="32"/>
          <w:szCs w:val="32"/>
          <w:lang w:eastAsia="zh-CN"/>
        </w:rPr>
      </w:pPr>
      <w:r>
        <w:rPr>
          <w:rFonts w:ascii="仿宋_GB2312" w:eastAsia="仿宋_GB2312"/>
          <w:b/>
          <w:sz w:val="32"/>
          <w:szCs w:val="32"/>
          <w:lang w:eastAsia="zh-CN"/>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bCs/>
          <w:sz w:val="32"/>
          <w:szCs w:val="32"/>
          <w:lang w:eastAsia="zh-CN"/>
        </w:rPr>
        <w:t>2024年度一般公共预算财政拨款支出1,799.10万元，</w:t>
      </w:r>
      <w:r>
        <w:rPr>
          <w:rFonts w:ascii="仿宋_GB2312" w:eastAsia="仿宋_GB2312"/>
          <w:sz w:val="32"/>
          <w:szCs w:val="32"/>
          <w:lang w:eastAsia="zh-CN"/>
        </w:rPr>
        <w:t>占本年支出合计的97.54%。</w:t>
      </w:r>
      <w:r>
        <w:rPr>
          <w:rFonts w:ascii="仿宋_GB2312" w:eastAsia="仿宋_GB2312"/>
          <w:b/>
          <w:bCs/>
          <w:sz w:val="32"/>
          <w:szCs w:val="32"/>
          <w:lang w:eastAsia="zh-CN"/>
        </w:rPr>
        <w:t>与上年相比，</w:t>
      </w:r>
      <w:r>
        <w:rPr>
          <w:rFonts w:ascii="仿宋_GB2312" w:eastAsia="仿宋_GB2312"/>
          <w:sz w:val="32"/>
          <w:szCs w:val="32"/>
          <w:lang w:eastAsia="zh-CN"/>
        </w:rPr>
        <w:t>减少50.72万元，下降2.74%，主要原因是：</w:t>
      </w:r>
      <w:r>
        <w:rPr>
          <w:rFonts w:hint="eastAsia" w:ascii="仿宋_GB2312" w:eastAsia="仿宋_GB2312"/>
          <w:sz w:val="32"/>
          <w:szCs w:val="32"/>
          <w:highlight w:val="none"/>
          <w:lang w:val="en-US" w:eastAsia="zh-CN"/>
        </w:rPr>
        <w:t>国家非物质文化遗产保护项目</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自治区非物质文化遗产保护项目</w:t>
      </w:r>
      <w:r>
        <w:rPr>
          <w:rFonts w:hint="eastAsia" w:ascii="仿宋_GB2312" w:eastAsia="仿宋_GB2312"/>
          <w:sz w:val="32"/>
          <w:szCs w:val="32"/>
          <w:highlight w:val="none"/>
          <w:lang w:eastAsia="zh-CN"/>
        </w:rPr>
        <w:t>经费减少</w:t>
      </w:r>
      <w:r>
        <w:rPr>
          <w:rFonts w:ascii="仿宋_GB2312" w:eastAsia="仿宋_GB2312"/>
          <w:sz w:val="32"/>
          <w:szCs w:val="32"/>
          <w:highlight w:val="none"/>
          <w:lang w:eastAsia="zh-CN"/>
        </w:rPr>
        <w:t>。</w:t>
      </w:r>
      <w:r>
        <w:rPr>
          <w:rFonts w:ascii="仿宋_GB2312" w:eastAsia="仿宋_GB2312"/>
          <w:b/>
          <w:bCs/>
          <w:sz w:val="32"/>
          <w:szCs w:val="32"/>
          <w:lang w:eastAsia="zh-CN"/>
        </w:rPr>
        <w:t>与年初预算相比，</w:t>
      </w:r>
      <w:r>
        <w:rPr>
          <w:rFonts w:ascii="仿宋_GB2312" w:eastAsia="仿宋_GB2312"/>
          <w:sz w:val="32"/>
          <w:szCs w:val="32"/>
          <w:lang w:eastAsia="zh-CN"/>
        </w:rPr>
        <w:t>年初预算数1,885.24万元，决算数1,799.10万元，预决算差异率-4.57%，主要原因是：</w:t>
      </w:r>
      <w:r>
        <w:rPr>
          <w:rFonts w:hint="eastAsia" w:ascii="仿宋_GB2312" w:eastAsia="仿宋_GB2312"/>
          <w:sz w:val="32"/>
          <w:szCs w:val="32"/>
          <w:highlight w:val="none"/>
          <w:lang w:val="en-US" w:eastAsia="zh-CN"/>
        </w:rPr>
        <w:t>2024年国家非物质文化遗产保护项目支出较上年减少，剩余资金结转至2025年</w:t>
      </w:r>
      <w:r>
        <w:rPr>
          <w:rFonts w:ascii="仿宋_GB2312" w:eastAsia="仿宋_GB231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textAlignment w:val="auto"/>
        <w:outlineLvl w:val="2"/>
        <w:rPr>
          <w:rFonts w:hint="eastAsia" w:ascii="仿宋_GB2312" w:eastAsia="仿宋_GB2312"/>
          <w:sz w:val="32"/>
          <w:szCs w:val="32"/>
          <w:lang w:eastAsia="zh-CN"/>
        </w:rPr>
      </w:pPr>
      <w:r>
        <w:rPr>
          <w:rFonts w:ascii="仿宋_GB2312" w:eastAsia="仿宋_GB2312"/>
          <w:b/>
          <w:sz w:val="32"/>
          <w:szCs w:val="32"/>
          <w:lang w:eastAsia="zh-CN"/>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ascii="仿宋_GB2312" w:eastAsia="仿宋_GB2312"/>
          <w:sz w:val="32"/>
          <w:szCs w:val="32"/>
          <w:lang w:eastAsia="zh-CN"/>
        </w:rPr>
        <w:t>文化旅游体育与传媒支出（类）1,799.10万元，占100.00%。</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textAlignment w:val="auto"/>
        <w:outlineLvl w:val="2"/>
        <w:rPr>
          <w:rFonts w:hint="eastAsia" w:ascii="仿宋_GB2312" w:eastAsia="仿宋_GB2312"/>
          <w:sz w:val="32"/>
          <w:szCs w:val="32"/>
          <w:lang w:eastAsia="zh-CN"/>
        </w:rPr>
      </w:pPr>
      <w:r>
        <w:rPr>
          <w:rFonts w:ascii="仿宋_GB2312" w:eastAsia="仿宋_GB2312"/>
          <w:b/>
          <w:sz w:val="32"/>
          <w:szCs w:val="32"/>
          <w:lang w:eastAsia="zh-CN"/>
        </w:rPr>
        <w:t>（三）一般公共预算财政拨款支出决算具体情况</w:t>
      </w:r>
    </w:p>
    <w:p>
      <w:pPr>
        <w:keepNext w:val="0"/>
        <w:keepLines w:val="0"/>
        <w:pageBreakBefore w:val="0"/>
        <w:widowControl/>
        <w:numPr>
          <w:ilvl w:val="0"/>
          <w:numId w:val="1"/>
        </w:numPr>
        <w:kinsoku/>
        <w:wordWrap/>
        <w:overflowPunct/>
        <w:topLinePunct w:val="0"/>
        <w:autoSpaceDE/>
        <w:autoSpaceDN/>
        <w:bidi w:val="0"/>
        <w:adjustRightInd/>
        <w:snapToGrid/>
        <w:spacing w:after="0" w:line="580" w:lineRule="exact"/>
        <w:jc w:val="both"/>
        <w:textAlignment w:val="auto"/>
        <w:rPr>
          <w:rFonts w:hint="eastAsia" w:ascii="仿宋_GB2312" w:eastAsia="仿宋_GB2312"/>
          <w:sz w:val="32"/>
          <w:szCs w:val="32"/>
          <w:lang w:eastAsia="zh-CN"/>
        </w:rPr>
      </w:pPr>
      <w:r>
        <w:rPr>
          <w:rFonts w:ascii="仿宋_GB2312" w:eastAsia="仿宋_GB2312"/>
          <w:sz w:val="32"/>
          <w:szCs w:val="32"/>
          <w:lang w:eastAsia="zh-CN"/>
        </w:rPr>
        <w:t>文化旅游体育与传媒支出（类）文化和旅游（款）文化创作与保护（项）：支出决算数为884.03万元，比上年决算减少196.46万元，下降18.18%，主要原因是</w:t>
      </w:r>
      <w:r>
        <w:rPr>
          <w:rFonts w:ascii="仿宋_GB2312" w:eastAsia="仿宋_GB2312"/>
          <w:sz w:val="32"/>
          <w:szCs w:val="32"/>
          <w:highlight w:val="none"/>
          <w:lang w:eastAsia="zh-CN"/>
        </w:rPr>
        <w:t>：</w:t>
      </w:r>
      <w:r>
        <w:rPr>
          <w:rFonts w:hint="eastAsia" w:ascii="仿宋_GB2312" w:eastAsia="仿宋_GB2312"/>
          <w:sz w:val="32"/>
          <w:szCs w:val="32"/>
          <w:highlight w:val="none"/>
          <w:lang w:eastAsia="zh-CN"/>
        </w:rPr>
        <w:t>我单位本年度</w:t>
      </w:r>
      <w:r>
        <w:rPr>
          <w:rFonts w:hint="eastAsia" w:ascii="仿宋_GB2312" w:eastAsia="仿宋_GB2312"/>
          <w:sz w:val="32"/>
          <w:szCs w:val="32"/>
          <w:highlight w:val="none"/>
          <w:lang w:val="en-US" w:eastAsia="zh-CN"/>
        </w:rPr>
        <w:t>国家非物质文化遗产保护项目</w:t>
      </w:r>
      <w:r>
        <w:rPr>
          <w:rFonts w:hint="eastAsia" w:ascii="仿宋_GB2312" w:eastAsia="仿宋_GB2312"/>
          <w:sz w:val="32"/>
          <w:szCs w:val="32"/>
          <w:highlight w:val="none"/>
          <w:lang w:eastAsia="zh-CN"/>
        </w:rPr>
        <w:t>业务量</w:t>
      </w:r>
      <w:r>
        <w:rPr>
          <w:rFonts w:hint="eastAsia" w:ascii="仿宋_GB2312" w:eastAsia="仿宋_GB2312"/>
          <w:sz w:val="32"/>
          <w:szCs w:val="32"/>
          <w:highlight w:val="none"/>
          <w:lang w:val="en-US" w:eastAsia="zh-CN"/>
        </w:rPr>
        <w:t>减少</w:t>
      </w:r>
      <w:r>
        <w:rPr>
          <w:rFonts w:hint="eastAsia" w:ascii="仿宋_GB2312" w:eastAsia="仿宋_GB2312"/>
          <w:sz w:val="32"/>
          <w:szCs w:val="32"/>
          <w:highlight w:val="none"/>
          <w:lang w:eastAsia="zh-CN"/>
        </w:rPr>
        <w:t>，本年度预决算存在差异</w:t>
      </w:r>
      <w:r>
        <w:rPr>
          <w:rFonts w:ascii="仿宋_GB2312" w:eastAsia="仿宋_GB2312"/>
          <w:sz w:val="32"/>
          <w:szCs w:val="32"/>
          <w:highlight w:val="none"/>
          <w:lang w:eastAsia="zh-CN"/>
        </w:rPr>
        <w:t>。</w:t>
      </w:r>
    </w:p>
    <w:p>
      <w:pPr>
        <w:keepNext w:val="0"/>
        <w:keepLines w:val="0"/>
        <w:pageBreakBefore w:val="0"/>
        <w:widowControl/>
        <w:numPr>
          <w:ilvl w:val="0"/>
          <w:numId w:val="1"/>
        </w:numPr>
        <w:kinsoku/>
        <w:wordWrap/>
        <w:overflowPunct/>
        <w:topLinePunct w:val="0"/>
        <w:autoSpaceDE/>
        <w:autoSpaceDN/>
        <w:bidi w:val="0"/>
        <w:adjustRightInd/>
        <w:snapToGrid/>
        <w:spacing w:after="0" w:line="580" w:lineRule="exact"/>
        <w:jc w:val="both"/>
        <w:textAlignment w:val="auto"/>
        <w:rPr>
          <w:rFonts w:hint="eastAsia" w:ascii="仿宋_GB2312" w:eastAsia="仿宋_GB2312"/>
          <w:sz w:val="32"/>
          <w:szCs w:val="32"/>
          <w:lang w:eastAsia="zh-CN"/>
        </w:rPr>
      </w:pPr>
      <w:r>
        <w:rPr>
          <w:rFonts w:ascii="仿宋_GB2312" w:eastAsia="仿宋_GB2312"/>
          <w:sz w:val="32"/>
          <w:szCs w:val="32"/>
          <w:lang w:eastAsia="zh-CN"/>
        </w:rPr>
        <w:t>文化旅游体育与传媒支出（类）文化和旅游（款）其他文化和旅游支出（项）：支出决算数为915.06万元，比上年决算增加145.73万元，增长18.94%，主要原因是：</w:t>
      </w:r>
      <w:r>
        <w:rPr>
          <w:rFonts w:hint="eastAsia" w:ascii="仿宋_GB2312" w:eastAsia="仿宋_GB2312"/>
          <w:sz w:val="32"/>
          <w:szCs w:val="32"/>
          <w:lang w:val="en-US" w:eastAsia="zh-CN"/>
        </w:rPr>
        <w:t>一是</w:t>
      </w:r>
      <w:r>
        <w:rPr>
          <w:rFonts w:hint="eastAsia" w:ascii="仿宋_GB2312" w:eastAsia="仿宋_GB2312"/>
          <w:sz w:val="32"/>
          <w:szCs w:val="32"/>
          <w:lang w:eastAsia="zh-CN"/>
        </w:rPr>
        <w:t>我单位本年度社保基数调</w:t>
      </w:r>
      <w:r>
        <w:rPr>
          <w:rFonts w:hint="eastAsia" w:ascii="仿宋_GB2312" w:eastAsia="仿宋_GB2312"/>
          <w:sz w:val="32"/>
          <w:szCs w:val="32"/>
          <w:lang w:val="en-US" w:eastAsia="zh-CN"/>
        </w:rPr>
        <w:t>增</w:t>
      </w:r>
      <w:r>
        <w:rPr>
          <w:rFonts w:hint="eastAsia" w:ascii="仿宋_GB2312" w:eastAsia="仿宋_GB2312"/>
          <w:sz w:val="32"/>
          <w:szCs w:val="32"/>
          <w:lang w:eastAsia="zh-CN"/>
        </w:rPr>
        <w:t>；</w:t>
      </w:r>
      <w:r>
        <w:rPr>
          <w:rFonts w:hint="eastAsia" w:ascii="仿宋_GB2312" w:eastAsia="仿宋_GB2312"/>
          <w:sz w:val="32"/>
          <w:szCs w:val="32"/>
          <w:lang w:val="en-US" w:eastAsia="zh-CN"/>
        </w:rPr>
        <w:t>二是年中追加</w:t>
      </w:r>
      <w:r>
        <w:rPr>
          <w:rFonts w:hint="eastAsia" w:ascii="仿宋_GB2312" w:eastAsia="仿宋_GB2312"/>
          <w:sz w:val="32"/>
          <w:szCs w:val="32"/>
          <w:lang w:eastAsia="zh-CN"/>
        </w:rPr>
        <w:t>2024年国家非遗保护资金一般项目资金（第二批）；三是新增项目新疆人才发展基金2024年度第一轮支持资金—天山英才培养计划专项资金、新疆人才发展基金2024年度第一轮支持资金—智力援疆创新拓展人才计划专项资金。</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2024年度一般公共预算财政拨款基本支出770.60万元，其中：</w:t>
      </w:r>
      <w:r>
        <w:rPr>
          <w:rFonts w:ascii="仿宋_GB2312" w:eastAsia="仿宋_GB2312"/>
          <w:b/>
          <w:bCs/>
          <w:sz w:val="32"/>
          <w:szCs w:val="32"/>
          <w:lang w:eastAsia="zh-CN"/>
        </w:rPr>
        <w:t>人员经费713.11万元，</w:t>
      </w:r>
      <w:r>
        <w:rPr>
          <w:rFonts w:ascii="仿宋_GB2312" w:eastAsia="仿宋_GB2312"/>
          <w:sz w:val="32"/>
          <w:szCs w:val="32"/>
          <w:lang w:eastAsia="zh-CN"/>
        </w:rPr>
        <w:t>包括：基本工资、津贴补贴、奖金、绩效工资、机关事业单位基本养老保险缴费、职业年金缴费、职工基本医疗保险缴费、公务员医疗补助缴费、其他社会保障缴费、住房公积金、其他工资福利支出和退休费。</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bCs/>
          <w:sz w:val="32"/>
          <w:szCs w:val="32"/>
          <w:lang w:eastAsia="zh-CN"/>
        </w:rPr>
        <w:t>公用经费57.49万元，</w:t>
      </w:r>
      <w:r>
        <w:rPr>
          <w:rFonts w:ascii="仿宋_GB2312" w:eastAsia="仿宋_GB2312"/>
          <w:sz w:val="32"/>
          <w:szCs w:val="32"/>
          <w:lang w:eastAsia="zh-CN"/>
        </w:rPr>
        <w:t>包括：办公费、邮电费、差旅费、租赁费、培训费、劳务费、工会经费、福利费、公务用车运行维护费、其他交通费用和税金及附加费用。</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w:t>
      </w:r>
      <w:r>
        <w:rPr>
          <w:rFonts w:hint="eastAsia" w:ascii="仿宋_GB2312" w:eastAsia="仿宋_GB2312"/>
          <w:sz w:val="32"/>
          <w:szCs w:val="32"/>
          <w:lang w:eastAsia="zh-CN"/>
        </w:rPr>
        <w:t>、</w:t>
      </w:r>
      <w:r>
        <w:rPr>
          <w:rFonts w:ascii="仿宋_GB2312" w:eastAsia="仿宋_GB2312"/>
          <w:sz w:val="32"/>
          <w:szCs w:val="32"/>
          <w:lang w:eastAsia="zh-CN"/>
        </w:rPr>
        <w:t>支出及结转和结余</w:t>
      </w:r>
      <w:r>
        <w:rPr>
          <w:rFonts w:hint="eastAsia" w:ascii="仿宋_GB2312" w:eastAsia="仿宋_GB2312"/>
          <w:sz w:val="32"/>
          <w:szCs w:val="32"/>
          <w:lang w:eastAsia="zh-CN"/>
        </w:rPr>
        <w:t>，</w:t>
      </w:r>
      <w:r>
        <w:rPr>
          <w:rFonts w:ascii="仿宋_GB2312" w:eastAsia="仿宋_GB2312"/>
          <w:sz w:val="32"/>
          <w:szCs w:val="32"/>
          <w:lang w:eastAsia="zh-CN"/>
        </w:rPr>
        <w:t>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outlineLvl w:val="1"/>
        <w:rPr>
          <w:rFonts w:hint="eastAsia" w:ascii="黑体" w:eastAsia="黑体"/>
          <w:sz w:val="32"/>
          <w:szCs w:val="32"/>
          <w:lang w:eastAsia="zh-CN"/>
        </w:rPr>
      </w:pPr>
      <w:r>
        <w:rPr>
          <w:rFonts w:ascii="黑体" w:eastAsia="黑体"/>
          <w:sz w:val="32"/>
          <w:szCs w:val="32"/>
          <w:lang w:eastAsia="zh-CN"/>
        </w:rPr>
        <w:t>九、财政拨款</w:t>
      </w:r>
      <w:r>
        <w:rPr>
          <w:rFonts w:hint="eastAsia" w:ascii="黑体" w:eastAsia="黑体"/>
          <w:sz w:val="32"/>
          <w:szCs w:val="32"/>
          <w:lang w:eastAsia="zh-CN"/>
        </w:rPr>
        <w:t>“</w:t>
      </w:r>
      <w:r>
        <w:rPr>
          <w:rFonts w:ascii="黑体" w:eastAsia="黑体"/>
          <w:sz w:val="32"/>
          <w:szCs w:val="32"/>
          <w:lang w:eastAsia="zh-CN"/>
        </w:rPr>
        <w:t>三公</w:t>
      </w:r>
      <w:r>
        <w:rPr>
          <w:rFonts w:hint="eastAsia" w:ascii="黑体" w:eastAsia="黑体"/>
          <w:sz w:val="32"/>
          <w:szCs w:val="32"/>
          <w:lang w:eastAsia="zh-CN"/>
        </w:rPr>
        <w:t>”</w:t>
      </w:r>
      <w:r>
        <w:rPr>
          <w:rFonts w:ascii="黑体" w:eastAsia="黑体"/>
          <w:sz w:val="32"/>
          <w:szCs w:val="32"/>
          <w:lang w:eastAsia="zh-CN"/>
        </w:rPr>
        <w:t>经费支出决算情况说明</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bCs/>
          <w:sz w:val="32"/>
          <w:szCs w:val="32"/>
          <w:lang w:eastAsia="zh-CN"/>
        </w:rPr>
        <w:t>2024年度财政拨款</w:t>
      </w:r>
      <w:r>
        <w:rPr>
          <w:rFonts w:hint="eastAsia" w:ascii="仿宋_GB2312" w:eastAsia="仿宋_GB2312"/>
          <w:b/>
          <w:bCs/>
          <w:sz w:val="32"/>
          <w:szCs w:val="32"/>
          <w:lang w:eastAsia="zh-CN"/>
        </w:rPr>
        <w:t>“</w:t>
      </w:r>
      <w:r>
        <w:rPr>
          <w:rFonts w:ascii="仿宋_GB2312" w:eastAsia="仿宋_GB2312"/>
          <w:b/>
          <w:bCs/>
          <w:sz w:val="32"/>
          <w:szCs w:val="32"/>
          <w:lang w:eastAsia="zh-CN"/>
        </w:rPr>
        <w:t>三公</w:t>
      </w:r>
      <w:r>
        <w:rPr>
          <w:rFonts w:hint="eastAsia" w:ascii="仿宋_GB2312" w:eastAsia="仿宋_GB2312"/>
          <w:b/>
          <w:bCs/>
          <w:sz w:val="32"/>
          <w:szCs w:val="32"/>
          <w:lang w:eastAsia="zh-CN"/>
        </w:rPr>
        <w:t>”</w:t>
      </w:r>
      <w:r>
        <w:rPr>
          <w:rFonts w:ascii="仿宋_GB2312" w:eastAsia="仿宋_GB2312"/>
          <w:b/>
          <w:bCs/>
          <w:sz w:val="32"/>
          <w:szCs w:val="32"/>
          <w:lang w:eastAsia="zh-CN"/>
        </w:rPr>
        <w:t>经费支出2.60万元，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eastAsia="zh-CN"/>
        </w:rPr>
        <w:t>，</w:t>
      </w:r>
      <w:r>
        <w:rPr>
          <w:rFonts w:ascii="仿宋_GB2312" w:eastAsia="仿宋_GB2312"/>
          <w:sz w:val="32"/>
          <w:szCs w:val="32"/>
          <w:lang w:eastAsia="zh-CN"/>
        </w:rPr>
        <w:t>主要原因是：</w:t>
      </w:r>
      <w:r>
        <w:rPr>
          <w:rFonts w:ascii="仿宋_GB2312" w:eastAsia="仿宋_GB2312"/>
          <w:b w:val="0"/>
          <w:color w:val="auto"/>
          <w:sz w:val="32"/>
          <w:szCs w:val="32"/>
        </w:rPr>
        <w:t>严格执行“三公”经费预算，与上年支出</w:t>
      </w:r>
      <w:r>
        <w:rPr>
          <w:rFonts w:hint="eastAsia" w:ascii="仿宋_GB2312" w:eastAsia="仿宋_GB2312"/>
          <w:b w:val="0"/>
          <w:color w:val="auto"/>
          <w:sz w:val="32"/>
          <w:szCs w:val="32"/>
          <w:lang w:val="en-US" w:eastAsia="zh-CN"/>
        </w:rPr>
        <w:t>一致</w:t>
      </w:r>
      <w:r>
        <w:rPr>
          <w:rFonts w:ascii="仿宋_GB2312" w:eastAsia="仿宋_GB2312"/>
          <w:sz w:val="32"/>
          <w:szCs w:val="32"/>
          <w:lang w:eastAsia="zh-CN"/>
        </w:rPr>
        <w:t>。其中：因公出国（境）费支出0.00万元,占0.00%，</w:t>
      </w:r>
      <w:r>
        <w:rPr>
          <w:rFonts w:hint="eastAsia" w:ascii="仿宋_GB2312" w:eastAsia="仿宋_GB2312"/>
          <w:sz w:val="32"/>
          <w:szCs w:val="32"/>
          <w:lang w:eastAsia="zh-CN"/>
        </w:rPr>
        <w:t>比上年增加</w:t>
      </w:r>
      <w:r>
        <w:rPr>
          <w:rFonts w:hint="eastAsia" w:ascii="仿宋_GB2312" w:eastAsia="仿宋_GB2312"/>
          <w:sz w:val="32"/>
          <w:szCs w:val="32"/>
          <w:lang w:val="en-US" w:eastAsia="zh-CN"/>
        </w:rPr>
        <w:t>0.00万元</w:t>
      </w:r>
      <w:r>
        <w:rPr>
          <w:rFonts w:ascii="仿宋_GB2312" w:eastAsia="仿宋_GB2312"/>
          <w:sz w:val="32"/>
          <w:szCs w:val="32"/>
          <w:lang w:eastAsia="zh-CN"/>
        </w:rPr>
        <w:t>，</w:t>
      </w:r>
      <w:r>
        <w:rPr>
          <w:rFonts w:hint="eastAsia" w:ascii="仿宋_GB2312" w:eastAsia="仿宋_GB2312"/>
          <w:sz w:val="32"/>
          <w:szCs w:val="32"/>
          <w:lang w:eastAsia="zh-CN"/>
        </w:rPr>
        <w:t>增长</w:t>
      </w:r>
      <w:r>
        <w:rPr>
          <w:rFonts w:hint="eastAsia" w:ascii="仿宋_GB2312" w:eastAsia="仿宋_GB2312"/>
          <w:sz w:val="32"/>
          <w:szCs w:val="32"/>
          <w:lang w:val="en-US" w:eastAsia="zh-CN"/>
        </w:rPr>
        <w:t>0.00%，</w:t>
      </w:r>
      <w:r>
        <w:rPr>
          <w:rFonts w:ascii="仿宋_GB2312" w:eastAsia="仿宋_GB2312"/>
          <w:sz w:val="32"/>
          <w:szCs w:val="32"/>
          <w:lang w:eastAsia="zh-CN"/>
        </w:rPr>
        <w:t>主要原因是：</w:t>
      </w:r>
      <w:r>
        <w:rPr>
          <w:rFonts w:hint="eastAsia" w:ascii="仿宋_GB2312" w:eastAsia="仿宋_GB2312"/>
          <w:sz w:val="32"/>
          <w:szCs w:val="32"/>
          <w:lang w:val="en-US" w:eastAsia="zh-CN"/>
        </w:rPr>
        <w:t>2023年与2024年均</w:t>
      </w:r>
      <w:r>
        <w:rPr>
          <w:rFonts w:hint="eastAsia" w:ascii="仿宋_GB2312" w:eastAsia="仿宋_GB2312"/>
          <w:sz w:val="32"/>
          <w:szCs w:val="32"/>
        </w:rPr>
        <w:t>未安排</w:t>
      </w:r>
      <w:r>
        <w:rPr>
          <w:rFonts w:hint="eastAsia" w:ascii="仿宋_GB2312" w:eastAsia="仿宋_GB2312"/>
          <w:sz w:val="32"/>
          <w:szCs w:val="32"/>
          <w:lang w:val="zh-CN"/>
        </w:rPr>
        <w:t>因公出国（境）费</w:t>
      </w:r>
      <w:r>
        <w:rPr>
          <w:rFonts w:hint="eastAsia" w:ascii="仿宋_GB2312" w:eastAsia="仿宋_GB2312"/>
          <w:sz w:val="32"/>
          <w:szCs w:val="32"/>
        </w:rPr>
        <w:t>支出</w:t>
      </w:r>
      <w:r>
        <w:rPr>
          <w:rFonts w:hint="eastAsia" w:ascii="仿宋_GB2312" w:eastAsia="仿宋_GB2312"/>
          <w:sz w:val="32"/>
          <w:szCs w:val="32"/>
          <w:lang w:val="zh-CN"/>
        </w:rPr>
        <w:t>；</w:t>
      </w:r>
      <w:r>
        <w:rPr>
          <w:rFonts w:ascii="仿宋_GB2312" w:eastAsia="仿宋_GB2312"/>
          <w:sz w:val="32"/>
          <w:szCs w:val="32"/>
          <w:lang w:eastAsia="zh-CN"/>
        </w:rPr>
        <w:t>公务用车购置及运行维护费支出2.60万元，占100.00%，</w:t>
      </w:r>
      <w:r>
        <w:rPr>
          <w:rFonts w:hint="eastAsia" w:ascii="仿宋_GB2312" w:eastAsia="仿宋_GB2312"/>
          <w:sz w:val="32"/>
          <w:szCs w:val="32"/>
          <w:lang w:eastAsia="zh-CN"/>
        </w:rPr>
        <w:t>比上年增加</w:t>
      </w:r>
      <w:r>
        <w:rPr>
          <w:rFonts w:hint="eastAsia" w:ascii="仿宋_GB2312" w:eastAsia="仿宋_GB2312"/>
          <w:sz w:val="32"/>
          <w:szCs w:val="32"/>
          <w:lang w:val="en-US" w:eastAsia="zh-CN"/>
        </w:rPr>
        <w:t>0.00万元</w:t>
      </w:r>
      <w:r>
        <w:rPr>
          <w:rFonts w:ascii="仿宋_GB2312" w:eastAsia="仿宋_GB2312"/>
          <w:sz w:val="32"/>
          <w:szCs w:val="32"/>
          <w:lang w:eastAsia="zh-CN"/>
        </w:rPr>
        <w:t>，</w:t>
      </w:r>
      <w:r>
        <w:rPr>
          <w:rFonts w:hint="eastAsia" w:ascii="仿宋_GB2312" w:eastAsia="仿宋_GB2312"/>
          <w:sz w:val="32"/>
          <w:szCs w:val="32"/>
          <w:lang w:eastAsia="zh-CN"/>
        </w:rPr>
        <w:t>增长</w:t>
      </w:r>
      <w:r>
        <w:rPr>
          <w:rFonts w:hint="eastAsia" w:ascii="仿宋_GB2312" w:eastAsia="仿宋_GB2312"/>
          <w:sz w:val="32"/>
          <w:szCs w:val="32"/>
          <w:lang w:val="en-US" w:eastAsia="zh-CN"/>
        </w:rPr>
        <w:t>0.00%，</w:t>
      </w:r>
      <w:r>
        <w:rPr>
          <w:rFonts w:ascii="仿宋_GB2312" w:eastAsia="仿宋_GB2312"/>
          <w:sz w:val="32"/>
          <w:szCs w:val="32"/>
          <w:lang w:eastAsia="zh-CN"/>
        </w:rPr>
        <w:t>主要原因是：</w:t>
      </w:r>
      <w:r>
        <w:rPr>
          <w:rFonts w:ascii="仿宋_GB2312" w:eastAsia="仿宋_GB2312"/>
          <w:b w:val="0"/>
          <w:color w:val="auto"/>
          <w:sz w:val="32"/>
          <w:szCs w:val="32"/>
        </w:rPr>
        <w:t>严格执行</w:t>
      </w:r>
      <w:r>
        <w:rPr>
          <w:rFonts w:ascii="仿宋_GB2312" w:eastAsia="仿宋_GB2312"/>
          <w:sz w:val="32"/>
          <w:szCs w:val="32"/>
          <w:lang w:eastAsia="zh-CN"/>
        </w:rPr>
        <w:t>公务用车购置及运行维护</w:t>
      </w:r>
      <w:r>
        <w:rPr>
          <w:rFonts w:ascii="仿宋_GB2312" w:eastAsia="仿宋_GB2312"/>
          <w:b w:val="0"/>
          <w:color w:val="auto"/>
          <w:sz w:val="32"/>
          <w:szCs w:val="32"/>
        </w:rPr>
        <w:t>经费预算，与上年支出</w:t>
      </w:r>
      <w:r>
        <w:rPr>
          <w:rFonts w:hint="eastAsia" w:ascii="仿宋_GB2312" w:eastAsia="仿宋_GB2312"/>
          <w:b w:val="0"/>
          <w:color w:val="auto"/>
          <w:sz w:val="32"/>
          <w:szCs w:val="32"/>
          <w:lang w:val="en-US" w:eastAsia="zh-CN"/>
        </w:rPr>
        <w:t>一致</w:t>
      </w:r>
      <w:r>
        <w:rPr>
          <w:rFonts w:ascii="仿宋_GB2312" w:eastAsia="仿宋_GB2312"/>
          <w:sz w:val="32"/>
          <w:szCs w:val="32"/>
          <w:lang w:eastAsia="zh-CN"/>
        </w:rPr>
        <w:t>；公务接待费支出0.00万元，占0.00%，</w:t>
      </w:r>
      <w:r>
        <w:rPr>
          <w:rFonts w:hint="eastAsia" w:ascii="仿宋_GB2312" w:eastAsia="仿宋_GB2312"/>
          <w:sz w:val="32"/>
          <w:szCs w:val="32"/>
          <w:lang w:eastAsia="zh-CN"/>
        </w:rPr>
        <w:t>比上年增加</w:t>
      </w:r>
      <w:r>
        <w:rPr>
          <w:rFonts w:hint="eastAsia" w:ascii="仿宋_GB2312" w:eastAsia="仿宋_GB2312"/>
          <w:sz w:val="32"/>
          <w:szCs w:val="32"/>
          <w:lang w:val="en-US" w:eastAsia="zh-CN"/>
        </w:rPr>
        <w:t>0.00万元</w:t>
      </w:r>
      <w:r>
        <w:rPr>
          <w:rFonts w:ascii="仿宋_GB2312" w:eastAsia="仿宋_GB2312"/>
          <w:sz w:val="32"/>
          <w:szCs w:val="32"/>
          <w:lang w:eastAsia="zh-CN"/>
        </w:rPr>
        <w:t>，</w:t>
      </w:r>
      <w:r>
        <w:rPr>
          <w:rFonts w:hint="eastAsia" w:ascii="仿宋_GB2312" w:eastAsia="仿宋_GB2312"/>
          <w:sz w:val="32"/>
          <w:szCs w:val="32"/>
          <w:lang w:eastAsia="zh-CN"/>
        </w:rPr>
        <w:t>增长</w:t>
      </w:r>
      <w:r>
        <w:rPr>
          <w:rFonts w:hint="eastAsia" w:ascii="仿宋_GB2312" w:eastAsia="仿宋_GB2312"/>
          <w:sz w:val="32"/>
          <w:szCs w:val="32"/>
          <w:lang w:val="en-US" w:eastAsia="zh-CN"/>
        </w:rPr>
        <w:t>0.00%</w:t>
      </w:r>
      <w:r>
        <w:rPr>
          <w:rFonts w:ascii="仿宋_GB2312" w:eastAsia="仿宋_GB2312"/>
          <w:sz w:val="32"/>
          <w:szCs w:val="32"/>
          <w:lang w:eastAsia="zh-CN"/>
        </w:rPr>
        <w:t>，主要原因是：</w:t>
      </w:r>
      <w:r>
        <w:rPr>
          <w:rFonts w:hint="eastAsia" w:ascii="仿宋_GB2312" w:eastAsia="仿宋_GB2312"/>
          <w:sz w:val="32"/>
          <w:szCs w:val="32"/>
          <w:lang w:val="en-US" w:eastAsia="zh-CN"/>
        </w:rPr>
        <w:t>2023年与2024</w:t>
      </w:r>
      <w:r>
        <w:rPr>
          <w:rFonts w:hint="eastAsia" w:ascii="仿宋_GB2312" w:eastAsia="仿宋_GB2312"/>
          <w:sz w:val="32"/>
          <w:szCs w:val="32"/>
        </w:rPr>
        <w:t>年</w:t>
      </w:r>
      <w:r>
        <w:rPr>
          <w:rFonts w:hint="eastAsia" w:ascii="仿宋_GB2312" w:eastAsia="仿宋_GB2312"/>
          <w:sz w:val="32"/>
          <w:szCs w:val="32"/>
          <w:lang w:eastAsia="zh-CN"/>
        </w:rPr>
        <w:t>均</w:t>
      </w:r>
      <w:r>
        <w:rPr>
          <w:rFonts w:hint="eastAsia" w:ascii="仿宋_GB2312" w:eastAsia="仿宋_GB2312"/>
          <w:sz w:val="32"/>
          <w:szCs w:val="32"/>
        </w:rPr>
        <w:t>未安排</w:t>
      </w:r>
      <w:r>
        <w:rPr>
          <w:rFonts w:hint="eastAsia" w:ascii="仿宋_GB2312" w:eastAsia="仿宋_GB2312"/>
          <w:sz w:val="32"/>
          <w:szCs w:val="32"/>
          <w:lang w:val="zh-CN"/>
        </w:rPr>
        <w:t>公务接待费支出。</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textAlignment w:val="auto"/>
        <w:rPr>
          <w:rFonts w:hint="eastAsia" w:ascii="仿宋_GB2312" w:eastAsia="仿宋_GB2312"/>
          <w:b/>
          <w:bCs/>
          <w:sz w:val="32"/>
          <w:szCs w:val="32"/>
          <w:lang w:eastAsia="zh-CN"/>
        </w:rPr>
      </w:pPr>
      <w:r>
        <w:rPr>
          <w:rFonts w:ascii="仿宋_GB2312" w:eastAsia="仿宋_GB2312"/>
          <w:b/>
          <w:bCs/>
          <w:sz w:val="32"/>
          <w:szCs w:val="32"/>
          <w:lang w:eastAsia="zh-CN"/>
        </w:rPr>
        <w:t>具体情况如下：</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lang w:eastAsia="zh-CN"/>
        </w:rPr>
        <w:t>因公出国（境）费支出0.00万元，</w:t>
      </w:r>
      <w:r>
        <w:rPr>
          <w:rFonts w:hint="eastAsia" w:ascii="仿宋_GB2312" w:eastAsia="仿宋_GB2312"/>
          <w:sz w:val="32"/>
          <w:szCs w:val="32"/>
          <w:lang w:val="zh-CN"/>
        </w:rPr>
        <w:t>开支内容包括：</w:t>
      </w:r>
      <w:r>
        <w:rPr>
          <w:rFonts w:hint="eastAsia" w:ascii="仿宋_GB2312" w:eastAsia="仿宋_GB2312"/>
          <w:sz w:val="32"/>
          <w:szCs w:val="32"/>
        </w:rPr>
        <w:t>本单位年初预算未安排</w:t>
      </w:r>
      <w:r>
        <w:rPr>
          <w:rFonts w:hint="eastAsia" w:ascii="仿宋_GB2312" w:eastAsia="仿宋_GB2312"/>
          <w:sz w:val="32"/>
          <w:szCs w:val="32"/>
          <w:lang w:val="zh-CN"/>
        </w:rPr>
        <w:t>因公出国（境）费</w:t>
      </w:r>
      <w:r>
        <w:rPr>
          <w:rFonts w:hint="eastAsia" w:ascii="仿宋_GB2312" w:eastAsia="仿宋_GB2312"/>
          <w:sz w:val="32"/>
          <w:szCs w:val="32"/>
        </w:rPr>
        <w:t>支出</w:t>
      </w:r>
      <w:r>
        <w:rPr>
          <w:rFonts w:hint="eastAsia" w:ascii="仿宋_GB2312" w:eastAsia="仿宋_GB2312"/>
          <w:sz w:val="32"/>
          <w:szCs w:val="32"/>
          <w:lang w:val="zh-CN"/>
        </w:rPr>
        <w:t>。</w:t>
      </w:r>
      <w:r>
        <w:rPr>
          <w:rFonts w:ascii="仿宋_GB2312" w:eastAsia="仿宋_GB2312"/>
          <w:sz w:val="32"/>
          <w:szCs w:val="32"/>
          <w:lang w:eastAsia="zh-CN"/>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lang w:eastAsia="zh-CN"/>
        </w:rPr>
        <w:t>公务用车购置及运行维护费2.60万元，其中：公务用车购置费0.00万元，公务用车运行维护费2.60万元。公务用车运行维护费开支内容包括</w:t>
      </w:r>
      <w:r>
        <w:rPr>
          <w:rFonts w:hint="eastAsia" w:ascii="仿宋_GB2312" w:eastAsia="仿宋_GB2312"/>
          <w:sz w:val="32"/>
          <w:szCs w:val="32"/>
          <w:lang w:eastAsia="zh-CN"/>
        </w:rPr>
        <w:t>：车辆保险费、车辆维修维护费、车辆燃油费、车辆停车费</w:t>
      </w:r>
      <w:r>
        <w:rPr>
          <w:rFonts w:ascii="仿宋_GB2312" w:eastAsia="仿宋_GB2312"/>
          <w:sz w:val="32"/>
          <w:szCs w:val="32"/>
          <w:lang w:eastAsia="zh-CN"/>
        </w:rPr>
        <w:t>。公务用车购置数0辆，公务用车保有量2辆。国有资产占用情况中固定资产车辆2辆，与公务用车保有量差异原因是：</w:t>
      </w:r>
      <w:r>
        <w:rPr>
          <w:rFonts w:hint="eastAsia" w:ascii="仿宋_GB2312" w:eastAsia="仿宋_GB2312"/>
          <w:sz w:val="32"/>
          <w:szCs w:val="32"/>
        </w:rPr>
        <w:t>固定资产车辆数与公务用车保有量无差异</w:t>
      </w:r>
      <w:r>
        <w:rPr>
          <w:rFonts w:hint="eastAsia" w:ascii="仿宋_GB2312" w:eastAsia="仿宋_GB2312"/>
          <w:sz w:val="32"/>
          <w:szCs w:val="32"/>
          <w:lang w:val="zh-CN"/>
        </w:rPr>
        <w:t>。</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lang w:eastAsia="zh-CN"/>
        </w:rPr>
        <w:t>公务接待费0.00万元，</w:t>
      </w:r>
      <w:r>
        <w:rPr>
          <w:rFonts w:hint="eastAsia" w:ascii="仿宋_GB2312" w:eastAsia="仿宋_GB2312"/>
          <w:sz w:val="32"/>
          <w:szCs w:val="32"/>
          <w:lang w:val="zh-CN"/>
        </w:rPr>
        <w:t>开支内容包括：</w:t>
      </w:r>
      <w:r>
        <w:rPr>
          <w:rFonts w:hint="eastAsia" w:ascii="仿宋_GB2312" w:eastAsia="仿宋_GB2312"/>
          <w:sz w:val="32"/>
          <w:szCs w:val="32"/>
        </w:rPr>
        <w:t>本单位年初未安排</w:t>
      </w:r>
      <w:r>
        <w:rPr>
          <w:rFonts w:hint="eastAsia" w:ascii="仿宋_GB2312" w:eastAsia="仿宋_GB2312"/>
          <w:sz w:val="32"/>
          <w:szCs w:val="32"/>
          <w:lang w:val="zh-CN"/>
        </w:rPr>
        <w:t>公务接待费</w:t>
      </w:r>
      <w:r>
        <w:rPr>
          <w:rFonts w:hint="eastAsia" w:ascii="仿宋_GB2312" w:eastAsia="仿宋_GB2312"/>
          <w:sz w:val="32"/>
          <w:szCs w:val="32"/>
        </w:rPr>
        <w:t>支出</w:t>
      </w:r>
      <w:r>
        <w:rPr>
          <w:rFonts w:hint="eastAsia" w:ascii="仿宋_GB2312" w:eastAsia="仿宋_GB2312"/>
          <w:sz w:val="32"/>
          <w:szCs w:val="32"/>
          <w:lang w:val="zh-CN"/>
        </w:rPr>
        <w:t>。</w:t>
      </w:r>
      <w:r>
        <w:rPr>
          <w:rFonts w:ascii="仿宋_GB2312" w:eastAsia="仿宋_GB2312"/>
          <w:sz w:val="32"/>
          <w:szCs w:val="32"/>
          <w:lang w:eastAsia="zh-CN"/>
        </w:rPr>
        <w:t>单位全年安排的国内公务接待0批次，0人次。</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eastAsia="仿宋_GB2312"/>
          <w:sz w:val="32"/>
          <w:szCs w:val="32"/>
          <w:lang w:eastAsia="zh-CN"/>
        </w:rPr>
      </w:pPr>
      <w:r>
        <w:rPr>
          <w:rFonts w:ascii="仿宋_GB2312" w:eastAsia="仿宋_GB2312"/>
          <w:b/>
          <w:bCs/>
          <w:sz w:val="32"/>
          <w:szCs w:val="32"/>
          <w:lang w:eastAsia="zh-CN"/>
        </w:rPr>
        <w:t>与全年预算相比，</w:t>
      </w:r>
      <w:r>
        <w:rPr>
          <w:rFonts w:ascii="仿宋_GB2312" w:eastAsia="仿宋_GB2312"/>
          <w:sz w:val="32"/>
          <w:szCs w:val="32"/>
          <w:lang w:eastAsia="zh-CN"/>
        </w:rPr>
        <w:t>财政拨款</w:t>
      </w:r>
      <w:r>
        <w:rPr>
          <w:rFonts w:hint="eastAsia" w:ascii="仿宋_GB2312" w:eastAsia="仿宋_GB2312"/>
          <w:sz w:val="32"/>
          <w:szCs w:val="32"/>
          <w:lang w:eastAsia="zh-CN"/>
        </w:rPr>
        <w:t>“</w:t>
      </w:r>
      <w:r>
        <w:rPr>
          <w:rFonts w:ascii="仿宋_GB2312" w:eastAsia="仿宋_GB2312"/>
          <w:sz w:val="32"/>
          <w:szCs w:val="32"/>
          <w:lang w:eastAsia="zh-CN"/>
        </w:rPr>
        <w:t>三公</w:t>
      </w:r>
      <w:r>
        <w:rPr>
          <w:rFonts w:hint="eastAsia" w:ascii="仿宋_GB2312" w:eastAsia="仿宋_GB2312"/>
          <w:sz w:val="32"/>
          <w:szCs w:val="32"/>
          <w:lang w:eastAsia="zh-CN"/>
        </w:rPr>
        <w:t>”</w:t>
      </w:r>
      <w:r>
        <w:rPr>
          <w:rFonts w:ascii="仿宋_GB2312" w:eastAsia="仿宋_GB2312"/>
          <w:sz w:val="32"/>
          <w:szCs w:val="32"/>
          <w:lang w:eastAsia="zh-CN"/>
        </w:rPr>
        <w:t>经费支出全年预算数2.60万元，决算数2.60万元，预决算差异率0.00%，主要原因是：</w:t>
      </w:r>
      <w:r>
        <w:rPr>
          <w:rFonts w:ascii="仿宋_GB2312" w:eastAsia="仿宋_GB2312"/>
          <w:b w:val="0"/>
          <w:sz w:val="32"/>
          <w:szCs w:val="32"/>
        </w:rPr>
        <w:t>严格执行</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经费预算，本年支出与预算保持</w:t>
      </w:r>
      <w:r>
        <w:rPr>
          <w:rFonts w:hint="eastAsia" w:ascii="仿宋_GB2312" w:eastAsia="仿宋_GB2312"/>
          <w:b w:val="0"/>
          <w:sz w:val="32"/>
          <w:szCs w:val="32"/>
          <w:lang w:val="en-US" w:eastAsia="zh-CN"/>
        </w:rPr>
        <w:t>一致</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sz w:val="32"/>
          <w:szCs w:val="32"/>
        </w:rPr>
        <w:t>本单位年初未安排因公出国（境）费支出</w:t>
      </w:r>
      <w:r>
        <w:rPr>
          <w:rFonts w:hint="eastAsia" w:ascii="仿宋_GB2312" w:eastAsia="仿宋_GB2312"/>
          <w:sz w:val="32"/>
          <w:szCs w:val="32"/>
          <w:lang w:eastAsia="zh-CN"/>
        </w:rPr>
        <w:t>；</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sz w:val="32"/>
          <w:szCs w:val="32"/>
        </w:rPr>
        <w:t>本单位年初未安排公务用车购置费支出</w:t>
      </w:r>
      <w:r>
        <w:rPr>
          <w:rFonts w:hint="eastAsia" w:ascii="仿宋_GB2312" w:eastAsia="仿宋_GB2312"/>
          <w:sz w:val="32"/>
          <w:szCs w:val="32"/>
          <w:lang w:eastAsia="zh-CN"/>
        </w:rPr>
        <w:t>；</w:t>
      </w:r>
      <w:r>
        <w:rPr>
          <w:rFonts w:ascii="仿宋_GB2312" w:eastAsia="仿宋_GB2312"/>
          <w:sz w:val="32"/>
          <w:szCs w:val="32"/>
          <w:lang w:eastAsia="zh-CN"/>
        </w:rPr>
        <w:t>公务用车运行</w:t>
      </w:r>
      <w:r>
        <w:rPr>
          <w:rFonts w:hint="eastAsia" w:ascii="仿宋_GB2312" w:eastAsia="仿宋_GB2312"/>
          <w:sz w:val="32"/>
          <w:szCs w:val="32"/>
          <w:lang w:val="en-US" w:eastAsia="zh-CN"/>
        </w:rPr>
        <w:t>维护</w:t>
      </w:r>
      <w:r>
        <w:rPr>
          <w:rFonts w:ascii="仿宋_GB2312" w:eastAsia="仿宋_GB2312"/>
          <w:sz w:val="32"/>
          <w:szCs w:val="32"/>
          <w:lang w:eastAsia="zh-CN"/>
        </w:rPr>
        <w:t>费全年预算数2.60万元，决算数2.60万元，预决算差异率0.00%，主要原因是：</w:t>
      </w:r>
      <w:r>
        <w:rPr>
          <w:rFonts w:ascii="仿宋_GB2312" w:eastAsia="仿宋_GB2312"/>
          <w:b w:val="0"/>
          <w:sz w:val="32"/>
          <w:szCs w:val="32"/>
        </w:rPr>
        <w:t>严格执行</w:t>
      </w:r>
      <w:r>
        <w:rPr>
          <w:rFonts w:ascii="仿宋_GB2312" w:eastAsia="仿宋_GB2312"/>
          <w:sz w:val="32"/>
          <w:szCs w:val="32"/>
          <w:lang w:eastAsia="zh-CN"/>
        </w:rPr>
        <w:t>公务用车运行</w:t>
      </w:r>
      <w:r>
        <w:rPr>
          <w:rFonts w:hint="eastAsia" w:ascii="仿宋_GB2312" w:eastAsia="仿宋_GB2312"/>
          <w:sz w:val="32"/>
          <w:szCs w:val="32"/>
          <w:lang w:val="en-US" w:eastAsia="zh-CN"/>
        </w:rPr>
        <w:t>维护</w:t>
      </w:r>
      <w:r>
        <w:rPr>
          <w:rFonts w:ascii="仿宋_GB2312" w:eastAsia="仿宋_GB2312"/>
          <w:sz w:val="32"/>
          <w:szCs w:val="32"/>
          <w:lang w:eastAsia="zh-CN"/>
        </w:rPr>
        <w:t>费</w:t>
      </w:r>
      <w:r>
        <w:rPr>
          <w:rFonts w:ascii="仿宋_GB2312" w:eastAsia="仿宋_GB2312"/>
          <w:b w:val="0"/>
          <w:sz w:val="32"/>
          <w:szCs w:val="32"/>
        </w:rPr>
        <w:t>预算，本年支出与预算保持</w:t>
      </w:r>
      <w:r>
        <w:rPr>
          <w:rFonts w:hint="eastAsia" w:ascii="仿宋_GB2312" w:eastAsia="仿宋_GB2312"/>
          <w:b w:val="0"/>
          <w:sz w:val="32"/>
          <w:szCs w:val="32"/>
          <w:lang w:val="en-US" w:eastAsia="zh-CN"/>
        </w:rPr>
        <w:t>一致</w:t>
      </w:r>
      <w:r>
        <w:rPr>
          <w:rFonts w:hint="eastAsia" w:ascii="仿宋_GB2312" w:eastAsia="仿宋_GB2312"/>
          <w:sz w:val="32"/>
          <w:szCs w:val="32"/>
          <w:lang w:eastAsia="zh-CN"/>
        </w:rPr>
        <w:t>；</w:t>
      </w:r>
      <w:r>
        <w:rPr>
          <w:rFonts w:ascii="仿宋_GB2312" w:eastAsia="仿宋_GB2312"/>
          <w:sz w:val="32"/>
          <w:szCs w:val="32"/>
          <w:lang w:eastAsia="zh-CN"/>
        </w:rPr>
        <w:t>公务接待费全年预算数0.00万元，决算数0.00万元，预决算差异率0.00%，主要原因是：</w:t>
      </w:r>
      <w:r>
        <w:rPr>
          <w:rFonts w:ascii="仿宋_GB2312" w:eastAsia="仿宋_GB2312"/>
          <w:sz w:val="32"/>
          <w:szCs w:val="32"/>
        </w:rPr>
        <w:t>本单位年初未安排公务接待费支出。</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黑体" w:eastAsia="黑体"/>
          <w:sz w:val="32"/>
          <w:szCs w:val="32"/>
          <w:lang w:eastAsia="zh-CN"/>
        </w:rPr>
      </w:pPr>
      <w:r>
        <w:rPr>
          <w:rFonts w:ascii="黑体" w:eastAsia="黑体"/>
          <w:sz w:val="32"/>
          <w:szCs w:val="32"/>
          <w:lang w:eastAsia="zh-CN"/>
        </w:rPr>
        <w:t>十、其他重要事项的情况说明</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2"/>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（一）机关运行经费及公用经费支出情况</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0"/>
        <w:rPr>
          <w:rFonts w:ascii="仿宋_GB2312" w:eastAsia="仿宋_GB2312"/>
          <w:sz w:val="32"/>
          <w:szCs w:val="32"/>
          <w:highlight w:val="none"/>
          <w:lang w:eastAsia="zh-CN"/>
        </w:rPr>
      </w:pPr>
      <w:r>
        <w:rPr>
          <w:rFonts w:hint="eastAsia" w:ascii="仿宋_GB2312" w:eastAsia="仿宋_GB2312"/>
          <w:sz w:val="32"/>
          <w:szCs w:val="32"/>
          <w:lang w:eastAsia="zh-CN"/>
        </w:rPr>
        <w:t>2024年度</w:t>
      </w:r>
      <w:r>
        <w:rPr>
          <w:rFonts w:ascii="仿宋_GB2312" w:eastAsia="仿宋_GB2312"/>
          <w:sz w:val="32"/>
          <w:szCs w:val="32"/>
          <w:lang w:eastAsia="zh-CN"/>
        </w:rPr>
        <w:t>新疆维吾尔自治区艺术研究所（新疆维吾尔自治区非物质文化遗产保护中心）</w:t>
      </w:r>
      <w:bookmarkStart w:id="0" w:name="_GoBack"/>
      <w:bookmarkEnd w:id="0"/>
      <w:r>
        <w:rPr>
          <w:rFonts w:hint="eastAsia" w:ascii="仿宋_GB2312" w:eastAsia="仿宋_GB2312"/>
          <w:sz w:val="32"/>
          <w:szCs w:val="32"/>
          <w:lang w:eastAsia="zh-CN"/>
        </w:rPr>
        <w:t>公用经费支出</w:t>
      </w:r>
      <w:r>
        <w:rPr>
          <w:rFonts w:ascii="仿宋_GB2312" w:eastAsia="仿宋_GB2312"/>
          <w:sz w:val="32"/>
          <w:szCs w:val="32"/>
          <w:lang w:eastAsia="zh-CN"/>
        </w:rPr>
        <w:t>57.49</w:t>
      </w:r>
      <w:r>
        <w:rPr>
          <w:rFonts w:hint="eastAsia" w:ascii="仿宋_GB2312" w:eastAsia="仿宋_GB2312"/>
          <w:sz w:val="32"/>
          <w:szCs w:val="32"/>
          <w:lang w:eastAsia="zh-CN"/>
        </w:rPr>
        <w:t>万元，比上年增加</w:t>
      </w:r>
      <w:r>
        <w:rPr>
          <w:rFonts w:ascii="仿宋_GB2312" w:eastAsia="仿宋_GB2312"/>
          <w:sz w:val="32"/>
          <w:szCs w:val="32"/>
          <w:lang w:eastAsia="zh-CN"/>
        </w:rPr>
        <w:t>22.73</w:t>
      </w:r>
      <w:r>
        <w:rPr>
          <w:rFonts w:hint="eastAsia" w:ascii="仿宋_GB2312" w:eastAsia="仿宋_GB2312"/>
          <w:sz w:val="32"/>
          <w:szCs w:val="32"/>
          <w:lang w:eastAsia="zh-CN"/>
        </w:rPr>
        <w:t>万元，增长</w:t>
      </w:r>
      <w:r>
        <w:rPr>
          <w:rFonts w:ascii="仿宋_GB2312" w:eastAsia="仿宋_GB2312"/>
          <w:sz w:val="32"/>
          <w:szCs w:val="32"/>
          <w:lang w:eastAsia="zh-CN"/>
        </w:rPr>
        <w:t>65.39</w:t>
      </w:r>
      <w:r>
        <w:rPr>
          <w:rFonts w:hint="eastAsia" w:ascii="仿宋_GB2312" w:eastAsia="仿宋_GB2312"/>
          <w:sz w:val="32"/>
          <w:szCs w:val="32"/>
          <w:lang w:eastAsia="zh-CN"/>
        </w:rPr>
        <w:t>%，</w:t>
      </w:r>
      <w:r>
        <w:rPr>
          <w:rFonts w:ascii="仿宋_GB2312" w:eastAsia="仿宋_GB2312"/>
          <w:sz w:val="32"/>
          <w:szCs w:val="32"/>
          <w:lang w:eastAsia="zh-CN"/>
        </w:rPr>
        <w:t>主要原因是：</w:t>
      </w:r>
      <w:r>
        <w:rPr>
          <w:rFonts w:hint="eastAsia" w:ascii="仿宋_GB2312" w:eastAsia="仿宋_GB2312"/>
          <w:sz w:val="32"/>
          <w:szCs w:val="32"/>
          <w:highlight w:val="none"/>
          <w:lang w:eastAsia="zh-CN"/>
        </w:rPr>
        <w:t>我单位本年度人均办公费、差费增加，导致公用经费增长。</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2"/>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（二）政府采购情况</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lang w:eastAsia="zh-CN"/>
        </w:rPr>
        <w:t>2024年度政府采购支出总额872.32万元，其中：政府采购货物支出54.45万元、政府采购工程支出0.00万元、政府采购服务支出817.87万元。</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lang w:eastAsia="zh-CN"/>
        </w:rPr>
        <w:t>授予中小企业合同金额780.73万元，占政府采购支出总额的89.50%，其中：授予小微企业合同金额780.73万元，占政府采购支出总额的89.50%。</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2"/>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（三）国有资产占用情况说明</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2辆，价值72.80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eastAsia="仿宋_GB2312"/>
          <w:sz w:val="32"/>
          <w:szCs w:val="32"/>
          <w:lang w:eastAsia="zh-CN"/>
        </w:rPr>
        <w:t>一般公务用车。</w:t>
      </w:r>
      <w:r>
        <w:rPr>
          <w:rFonts w:ascii="仿宋_GB2312" w:eastAsia="仿宋_GB2312"/>
          <w:sz w:val="32"/>
          <w:szCs w:val="32"/>
          <w:lang w:eastAsia="zh-CN"/>
        </w:rPr>
        <w:t>单价100万元（含）以上设备（不含车辆）0台（套）。</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黑体" w:eastAsia="黑体"/>
          <w:sz w:val="32"/>
          <w:szCs w:val="32"/>
          <w:lang w:eastAsia="zh-CN"/>
        </w:rPr>
      </w:pPr>
      <w:r>
        <w:rPr>
          <w:rFonts w:ascii="黑体" w:eastAsia="黑体"/>
          <w:sz w:val="32"/>
          <w:szCs w:val="32"/>
          <w:lang w:eastAsia="zh-CN"/>
        </w:rPr>
        <w:t>十一、预算绩效的情况说明</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eastAsia="zh-CN"/>
        </w:rPr>
        <w:t>根据预算绩效管理要求，本单位2024年度预算绩效评价项目0</w:t>
      </w:r>
      <w:r>
        <w:rPr>
          <w:rFonts w:ascii="仿宋_GB2312" w:eastAsia="仿宋_GB2312"/>
          <w:sz w:val="32"/>
          <w:szCs w:val="32"/>
          <w:lang w:eastAsia="zh-CN"/>
        </w:rPr>
        <w:t>个，全年预算数</w:t>
      </w:r>
      <w:r>
        <w:rPr>
          <w:rFonts w:hint="eastAsia" w:ascii="仿宋_GB2312" w:eastAsia="仿宋_GB2312"/>
          <w:sz w:val="32"/>
          <w:szCs w:val="32"/>
          <w:lang w:eastAsia="zh-CN"/>
        </w:rPr>
        <w:t>0</w:t>
      </w:r>
      <w:r>
        <w:rPr>
          <w:rFonts w:ascii="仿宋_GB2312" w:eastAsia="仿宋_GB2312"/>
          <w:sz w:val="32"/>
          <w:szCs w:val="32"/>
          <w:lang w:eastAsia="zh-CN"/>
        </w:rPr>
        <w:t>万元，全年执行数</w:t>
      </w:r>
      <w:r>
        <w:rPr>
          <w:rFonts w:hint="eastAsia" w:ascii="仿宋_GB2312" w:eastAsia="仿宋_GB2312"/>
          <w:sz w:val="32"/>
          <w:szCs w:val="32"/>
          <w:lang w:eastAsia="zh-CN"/>
        </w:rPr>
        <w:t>0</w:t>
      </w:r>
      <w:r>
        <w:rPr>
          <w:rFonts w:ascii="仿宋_GB2312" w:eastAsia="仿宋_GB2312"/>
          <w:sz w:val="32"/>
          <w:szCs w:val="32"/>
          <w:lang w:eastAsia="zh-CN"/>
        </w:rPr>
        <w:t>万元。预算绩效管理取得的成效：我单位本年度无项目绩效评价。发现的问题及原因：我单位本年度无项目绩效评价。下一步改进措施：我单位本年度无项目绩效评价。</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黑体" w:eastAsia="黑体"/>
          <w:sz w:val="32"/>
          <w:szCs w:val="32"/>
          <w:lang w:eastAsia="zh-CN"/>
        </w:rPr>
      </w:pPr>
      <w:r>
        <w:rPr>
          <w:rFonts w:ascii="黑体" w:eastAsia="黑体"/>
          <w:sz w:val="32"/>
          <w:szCs w:val="32"/>
          <w:lang w:eastAsia="zh-CN"/>
        </w:rPr>
        <w:t>十二、其他需说明的事项</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ascii="仿宋_GB2312" w:eastAsia="仿宋_GB2312"/>
          <w:sz w:val="32"/>
          <w:szCs w:val="32"/>
        </w:rPr>
        <w:t>本单位无其他需说明事项。</w:t>
      </w:r>
    </w:p>
    <w:p>
      <w:pPr>
        <w:keepNext w:val="0"/>
        <w:keepLines w:val="0"/>
        <w:pageBreakBefore w:val="0"/>
        <w:widowControl/>
        <w:kinsoku/>
        <w:wordWrap/>
        <w:overflowPunct/>
        <w:topLinePunct w:val="0"/>
        <w:autoSpaceDE/>
        <w:autoSpaceDN/>
        <w:bidi w:val="0"/>
        <w:adjustRightInd/>
        <w:snapToGrid/>
        <w:spacing w:line="580" w:lineRule="exact"/>
        <w:textAlignment w:val="auto"/>
        <w:rPr>
          <w:rFonts w:hint="eastAsia"/>
          <w:lang w:eastAsia="zh-CN"/>
        </w:rPr>
      </w:pPr>
      <w:r>
        <w:rPr>
          <w:sz w:val="0"/>
          <w:szCs w:val="0"/>
          <w:lang w:eastAsia="zh-CN"/>
        </w:rPr>
        <w:br w:type="page"/>
      </w:r>
    </w:p>
    <w:p>
      <w:pPr>
        <w:keepNext w:val="0"/>
        <w:keepLines w:val="0"/>
        <w:pageBreakBefore w:val="0"/>
        <w:widowControl/>
        <w:kinsoku/>
        <w:wordWrap/>
        <w:overflowPunct/>
        <w:topLinePunct w:val="0"/>
        <w:autoSpaceDE/>
        <w:autoSpaceDN/>
        <w:bidi w:val="0"/>
        <w:adjustRightInd/>
        <w:snapToGrid/>
        <w:spacing w:after="0" w:line="580" w:lineRule="exact"/>
        <w:jc w:val="center"/>
        <w:textAlignment w:val="auto"/>
        <w:outlineLvl w:val="0"/>
        <w:rPr>
          <w:rFonts w:hint="eastAsia" w:ascii="黑体" w:eastAsia="黑体"/>
          <w:sz w:val="32"/>
          <w:szCs w:val="32"/>
          <w:lang w:eastAsia="zh-CN"/>
        </w:rPr>
      </w:pPr>
      <w:r>
        <w:rPr>
          <w:rFonts w:ascii="黑体" w:eastAsia="黑体"/>
          <w:sz w:val="32"/>
          <w:szCs w:val="32"/>
          <w:lang w:eastAsia="zh-CN"/>
        </w:rPr>
        <w:t>第三部分</w:t>
      </w:r>
      <w:r>
        <w:rPr>
          <w:rFonts w:hint="eastAsia" w:ascii="黑体" w:eastAsia="黑体"/>
          <w:sz w:val="32"/>
          <w:szCs w:val="32"/>
          <w:lang w:eastAsia="zh-CN"/>
        </w:rPr>
        <w:t xml:space="preserve"> </w:t>
      </w:r>
      <w:r>
        <w:rPr>
          <w:rFonts w:ascii="黑体" w:eastAsia="黑体"/>
          <w:sz w:val="32"/>
          <w:szCs w:val="32"/>
          <w:lang w:eastAsia="zh-CN"/>
        </w:rPr>
        <w:t>专业名词解释</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hint="eastAsia" w:ascii="仿宋_GB2312" w:eastAsia="仿宋_GB2312"/>
          <w:sz w:val="32"/>
          <w:szCs w:val="32"/>
          <w:lang w:eastAsia="zh-CN"/>
        </w:rPr>
        <w:t>“</w:t>
      </w:r>
      <w:r>
        <w:rPr>
          <w:rFonts w:ascii="仿宋_GB2312" w:eastAsia="仿宋_GB2312"/>
          <w:sz w:val="32"/>
          <w:szCs w:val="32"/>
          <w:lang w:eastAsia="zh-CN"/>
        </w:rPr>
        <w:t>财政拨款收入</w:t>
      </w:r>
      <w:r>
        <w:rPr>
          <w:rFonts w:hint="eastAsia" w:ascii="仿宋_GB2312" w:eastAsia="仿宋_GB2312"/>
          <w:sz w:val="32"/>
          <w:szCs w:val="32"/>
          <w:lang w:eastAsia="zh-CN"/>
        </w:rPr>
        <w:t>”</w:t>
      </w:r>
      <w:r>
        <w:rPr>
          <w:rFonts w:ascii="仿宋_GB2312" w:eastAsia="仿宋_GB2312"/>
          <w:sz w:val="32"/>
          <w:szCs w:val="32"/>
          <w:lang w:eastAsia="zh-CN"/>
        </w:rPr>
        <w:t>、</w:t>
      </w:r>
      <w:r>
        <w:rPr>
          <w:rFonts w:hint="eastAsia" w:ascii="仿宋_GB2312" w:eastAsia="仿宋_GB2312"/>
          <w:sz w:val="32"/>
          <w:szCs w:val="32"/>
          <w:lang w:eastAsia="zh-CN"/>
        </w:rPr>
        <w:t>“</w:t>
      </w:r>
      <w:r>
        <w:rPr>
          <w:rFonts w:ascii="仿宋_GB2312" w:eastAsia="仿宋_GB2312"/>
          <w:sz w:val="32"/>
          <w:szCs w:val="32"/>
          <w:lang w:eastAsia="zh-CN"/>
        </w:rPr>
        <w:t>事业收入</w:t>
      </w:r>
      <w:r>
        <w:rPr>
          <w:rFonts w:hint="eastAsia" w:ascii="仿宋_GB2312" w:eastAsia="仿宋_GB2312"/>
          <w:sz w:val="32"/>
          <w:szCs w:val="32"/>
          <w:lang w:eastAsia="zh-CN"/>
        </w:rPr>
        <w:t>”</w:t>
      </w:r>
      <w:r>
        <w:rPr>
          <w:rFonts w:ascii="仿宋_GB2312" w:eastAsia="仿宋_GB2312"/>
          <w:sz w:val="32"/>
          <w:szCs w:val="32"/>
          <w:lang w:eastAsia="zh-CN"/>
        </w:rPr>
        <w:t>、</w:t>
      </w:r>
      <w:r>
        <w:rPr>
          <w:rFonts w:hint="eastAsia" w:ascii="仿宋_GB2312" w:eastAsia="仿宋_GB2312"/>
          <w:sz w:val="32"/>
          <w:szCs w:val="32"/>
          <w:lang w:eastAsia="zh-CN"/>
        </w:rPr>
        <w:t>“</w:t>
      </w:r>
      <w:r>
        <w:rPr>
          <w:rFonts w:ascii="仿宋_GB2312" w:eastAsia="仿宋_GB2312"/>
          <w:sz w:val="32"/>
          <w:szCs w:val="32"/>
          <w:lang w:eastAsia="zh-CN"/>
        </w:rPr>
        <w:t>经营收入</w:t>
      </w:r>
      <w:r>
        <w:rPr>
          <w:rFonts w:hint="eastAsia" w:ascii="仿宋_GB2312" w:eastAsia="仿宋_GB2312"/>
          <w:sz w:val="32"/>
          <w:szCs w:val="32"/>
          <w:lang w:eastAsia="zh-CN"/>
        </w:rPr>
        <w:t>”</w:t>
      </w:r>
      <w:r>
        <w:rPr>
          <w:rFonts w:ascii="仿宋_GB2312" w:eastAsia="仿宋_GB2312"/>
          <w:sz w:val="32"/>
          <w:szCs w:val="32"/>
          <w:lang w:eastAsia="zh-CN"/>
        </w:rPr>
        <w:t>、</w:t>
      </w:r>
      <w:r>
        <w:rPr>
          <w:rFonts w:hint="eastAsia" w:ascii="仿宋_GB2312" w:eastAsia="仿宋_GB2312"/>
          <w:sz w:val="32"/>
          <w:szCs w:val="32"/>
          <w:lang w:eastAsia="zh-CN"/>
        </w:rPr>
        <w:t>“</w:t>
      </w:r>
      <w:r>
        <w:rPr>
          <w:rFonts w:ascii="仿宋_GB2312" w:eastAsia="仿宋_GB2312"/>
          <w:sz w:val="32"/>
          <w:szCs w:val="32"/>
          <w:lang w:eastAsia="zh-CN"/>
        </w:rPr>
        <w:t>附属单位上缴收入</w:t>
      </w:r>
      <w:r>
        <w:rPr>
          <w:rFonts w:hint="eastAsia" w:ascii="仿宋_GB2312" w:eastAsia="仿宋_GB2312"/>
          <w:sz w:val="32"/>
          <w:szCs w:val="32"/>
          <w:lang w:eastAsia="zh-CN"/>
        </w:rPr>
        <w:t>”</w:t>
      </w:r>
      <w:r>
        <w:rPr>
          <w:rFonts w:ascii="仿宋_GB2312" w:eastAsia="仿宋_GB2312"/>
          <w:sz w:val="32"/>
          <w:szCs w:val="32"/>
          <w:lang w:eastAsia="zh-CN"/>
        </w:rPr>
        <w:t>等之外取得的收入。</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十三、</w:t>
      </w:r>
      <w:r>
        <w:rPr>
          <w:rFonts w:hint="eastAsia" w:ascii="仿宋_GB2312" w:eastAsia="仿宋_GB2312"/>
          <w:b/>
          <w:sz w:val="32"/>
          <w:szCs w:val="32"/>
          <w:lang w:eastAsia="zh-CN"/>
        </w:rPr>
        <w:t>“</w:t>
      </w:r>
      <w:r>
        <w:rPr>
          <w:rFonts w:ascii="仿宋_GB2312" w:eastAsia="仿宋_GB2312"/>
          <w:b/>
          <w:sz w:val="32"/>
          <w:szCs w:val="32"/>
          <w:lang w:eastAsia="zh-CN"/>
        </w:rPr>
        <w:t>三公</w:t>
      </w:r>
      <w:r>
        <w:rPr>
          <w:rFonts w:hint="eastAsia"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after="0" w:line="580" w:lineRule="exact"/>
        <w:ind w:firstLine="642" w:firstLineChars="200"/>
        <w:jc w:val="both"/>
        <w:textAlignment w:val="auto"/>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80" w:lineRule="exact"/>
        <w:textAlignment w:val="auto"/>
        <w:rPr>
          <w:rFonts w:hint="eastAsia"/>
          <w:lang w:eastAsia="zh-CN"/>
        </w:rPr>
      </w:pPr>
      <w:r>
        <w:rPr>
          <w:sz w:val="0"/>
          <w:szCs w:val="0"/>
          <w:lang w:eastAsia="zh-CN"/>
        </w:rPr>
        <w:br w:type="page"/>
      </w:r>
    </w:p>
    <w:p>
      <w:pPr>
        <w:keepNext w:val="0"/>
        <w:keepLines w:val="0"/>
        <w:pageBreakBefore w:val="0"/>
        <w:widowControl/>
        <w:kinsoku/>
        <w:wordWrap/>
        <w:overflowPunct/>
        <w:topLinePunct w:val="0"/>
        <w:autoSpaceDE/>
        <w:autoSpaceDN/>
        <w:bidi w:val="0"/>
        <w:adjustRightInd/>
        <w:snapToGrid/>
        <w:spacing w:after="0" w:line="580" w:lineRule="exact"/>
        <w:jc w:val="center"/>
        <w:textAlignment w:val="auto"/>
        <w:outlineLvl w:val="0"/>
        <w:rPr>
          <w:rFonts w:hint="eastAsia" w:ascii="黑体" w:eastAsia="黑体"/>
          <w:sz w:val="32"/>
          <w:szCs w:val="32"/>
          <w:lang w:eastAsia="zh-CN"/>
        </w:rPr>
      </w:pPr>
      <w:r>
        <w:rPr>
          <w:rFonts w:ascii="黑体" w:eastAsia="黑体"/>
          <w:sz w:val="32"/>
          <w:szCs w:val="32"/>
          <w:lang w:eastAsia="zh-CN"/>
        </w:rPr>
        <w:t>第四部分</w:t>
      </w:r>
      <w:r>
        <w:rPr>
          <w:rFonts w:hint="eastAsia" w:ascii="黑体" w:eastAsia="黑体"/>
          <w:sz w:val="32"/>
          <w:szCs w:val="32"/>
          <w:lang w:eastAsia="zh-CN"/>
        </w:rPr>
        <w:t xml:space="preserve"> </w:t>
      </w:r>
      <w:r>
        <w:rPr>
          <w:rFonts w:ascii="黑体" w:eastAsia="黑体"/>
          <w:sz w:val="32"/>
          <w:szCs w:val="32"/>
          <w:lang w:eastAsia="zh-CN"/>
        </w:rPr>
        <w:t>部门决算报表</w:t>
      </w:r>
      <w:r>
        <w:rPr>
          <w:rFonts w:ascii="黑体" w:eastAsia="黑体"/>
          <w:b w:val="0"/>
          <w:sz w:val="32"/>
          <w:szCs w:val="32"/>
        </w:rPr>
        <w:t>（见附</w:t>
      </w:r>
      <w:r>
        <w:rPr>
          <w:rFonts w:hint="eastAsia" w:ascii="黑体" w:eastAsia="黑体"/>
          <w:b w:val="0"/>
          <w:sz w:val="32"/>
          <w:szCs w:val="32"/>
          <w:lang w:val="en-US" w:eastAsia="zh-CN"/>
        </w:rPr>
        <w:t>件1</w:t>
      </w:r>
      <w:r>
        <w:rPr>
          <w:rFonts w:ascii="黑体" w:eastAsia="黑体"/>
          <w:b w:val="0"/>
          <w:sz w:val="32"/>
          <w:szCs w:val="32"/>
        </w:rPr>
        <w:t>）</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after="0" w:line="580" w:lineRule="exact"/>
        <w:ind w:firstLine="640" w:firstLineChars="200"/>
        <w:textAlignment w:val="auto"/>
        <w:outlineLvl w:val="1"/>
        <w:rPr>
          <w:rFonts w:hint="eastAsia" w:ascii="仿宋_GB2312" w:eastAsia="仿宋_GB2312"/>
          <w:sz w:val="32"/>
          <w:szCs w:val="32"/>
          <w:lang w:eastAsia="zh-CN"/>
        </w:rPr>
      </w:pPr>
      <w:r>
        <w:rPr>
          <w:rFonts w:ascii="仿宋_GB2312" w:eastAsia="仿宋_GB2312"/>
          <w:sz w:val="32"/>
          <w:szCs w:val="32"/>
          <w:lang w:eastAsia="zh-CN"/>
        </w:rPr>
        <w:t>九、《财政拨款</w:t>
      </w:r>
      <w:r>
        <w:rPr>
          <w:rFonts w:hint="eastAsia" w:ascii="仿宋_GB2312" w:eastAsia="仿宋_GB2312"/>
          <w:sz w:val="32"/>
          <w:szCs w:val="32"/>
          <w:lang w:eastAsia="zh-CN"/>
        </w:rPr>
        <w:t>“</w:t>
      </w:r>
      <w:r>
        <w:rPr>
          <w:rFonts w:ascii="仿宋_GB2312" w:eastAsia="仿宋_GB2312"/>
          <w:sz w:val="32"/>
          <w:szCs w:val="32"/>
          <w:lang w:eastAsia="zh-CN"/>
        </w:rPr>
        <w:t>三公</w:t>
      </w:r>
      <w:r>
        <w:rPr>
          <w:rFonts w:hint="eastAsia" w:ascii="仿宋_GB2312" w:eastAsia="仿宋_GB2312"/>
          <w:sz w:val="32"/>
          <w:szCs w:val="32"/>
          <w:lang w:eastAsia="zh-CN"/>
        </w:rPr>
        <w:t>”</w:t>
      </w:r>
      <w:r>
        <w:rPr>
          <w:rFonts w:ascii="仿宋_GB2312" w:eastAsia="仿宋_GB2312"/>
          <w:sz w:val="32"/>
          <w:szCs w:val="32"/>
          <w:lang w:eastAsia="zh-CN"/>
        </w:rPr>
        <w:t>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等线 Light">
    <w:altName w:val="汉仪中圆B5"/>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等线 Light">
    <w:altName w:val="汉仪仿宋S"/>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2375DA"/>
    <w:multiLevelType w:val="multilevel"/>
    <w:tmpl w:val="762375DA"/>
    <w:lvl w:ilvl="0" w:tentative="0">
      <w:start w:val="1"/>
      <w:numFmt w:val="decimal"/>
      <w:suff w:val="nothing"/>
      <w:lvlText w:val="%1."/>
      <w:lvlJc w:val="left"/>
      <w:pPr>
        <w:ind w:firstLine="640" w:firstLineChars="200"/>
      </w:pPr>
    </w:lvl>
    <w:lvl w:ilvl="1" w:tentative="0">
      <w:start w:val="1"/>
      <w:numFmt w:val="decimal"/>
      <w:suff w:val="nothing"/>
      <w:lvlText w:val="%1.%2."/>
      <w:lvlJc w:val="left"/>
      <w:pPr>
        <w:ind w:firstLine="640" w:firstLineChars="200"/>
      </w:pPr>
    </w:lvl>
    <w:lvl w:ilvl="2" w:tentative="0">
      <w:start w:val="1"/>
      <w:numFmt w:val="decimal"/>
      <w:suff w:val="nothing"/>
      <w:lvlText w:val="%1.%2.%3."/>
      <w:lvlJc w:val="left"/>
      <w:pPr>
        <w:ind w:left="0" w:firstLine="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isplayHorizontalDrawingGridEvery w:val="1"/>
  <w:displayVerticalDrawingGridEvery w:val="1"/>
  <w:noPunctuationKerning w:val="true"/>
  <w:characterSpacingControl w:val="doNotCompress"/>
  <w:footnotePr>
    <w:footnote w:id="0"/>
    <w:footnote w:id="1"/>
  </w:footnotePr>
  <w:endnotePr>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88B"/>
    <w:rsid w:val="001B503C"/>
    <w:rsid w:val="002B18E7"/>
    <w:rsid w:val="0071619B"/>
    <w:rsid w:val="007C788B"/>
    <w:rsid w:val="00933CEF"/>
    <w:rsid w:val="00A427BD"/>
    <w:rsid w:val="00A7251E"/>
    <w:rsid w:val="00BF78BD"/>
    <w:rsid w:val="00D02C9C"/>
    <w:rsid w:val="00F05032"/>
    <w:rsid w:val="0C33316A"/>
    <w:rsid w:val="0E53024E"/>
    <w:rsid w:val="124619C3"/>
    <w:rsid w:val="12841571"/>
    <w:rsid w:val="34B01BD3"/>
    <w:rsid w:val="36D35C8B"/>
    <w:rsid w:val="3765423C"/>
    <w:rsid w:val="3FAA0505"/>
    <w:rsid w:val="3FDBF211"/>
    <w:rsid w:val="42417C51"/>
    <w:rsid w:val="471401DA"/>
    <w:rsid w:val="47215218"/>
    <w:rsid w:val="4ABD162D"/>
    <w:rsid w:val="518A5153"/>
    <w:rsid w:val="53EA723C"/>
    <w:rsid w:val="56305B7C"/>
    <w:rsid w:val="590E3874"/>
    <w:rsid w:val="5D153EC6"/>
    <w:rsid w:val="5D364BA9"/>
    <w:rsid w:val="5EEB5781"/>
    <w:rsid w:val="670C6F9F"/>
    <w:rsid w:val="6B435BAA"/>
    <w:rsid w:val="73045DA1"/>
    <w:rsid w:val="73F41081"/>
    <w:rsid w:val="78975968"/>
    <w:rsid w:val="7BAC4CC9"/>
    <w:rsid w:val="7EFD7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2F5597"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472C4"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472C4" w:themeColor="accent1"/>
      <w14:textFill>
        <w14:solidFill>
          <w14:schemeClr w14:val="accent1"/>
        </w14:solidFill>
      </w14:textFill>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14:textFill>
        <w14:solidFill>
          <w14:schemeClr w14:val="accent1"/>
        </w14:solidFill>
      </w14:textFill>
    </w:rPr>
  </w:style>
  <w:style w:type="paragraph" w:styleId="8">
    <w:name w:val="footer"/>
    <w:basedOn w:val="1"/>
    <w:link w:val="25"/>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8"/>
    <w:unhideWhenUsed/>
    <w:qFormat/>
    <w:uiPriority w:val="99"/>
    <w:pPr>
      <w:tabs>
        <w:tab w:val="center" w:pos="4680"/>
        <w:tab w:val="right" w:pos="9360"/>
      </w:tabs>
    </w:pPr>
  </w:style>
  <w:style w:type="paragraph" w:styleId="10">
    <w:name w:val="toc 1"/>
    <w:basedOn w:val="1"/>
    <w:next w:val="1"/>
    <w:qFormat/>
    <w:uiPriority w:val="0"/>
  </w:style>
  <w:style w:type="paragraph" w:styleId="11">
    <w:name w:val="Subtitle"/>
    <w:basedOn w:val="1"/>
    <w:next w:val="1"/>
    <w:link w:val="23"/>
    <w:qFormat/>
    <w:uiPriority w:val="11"/>
    <w:pPr>
      <w:ind w:left="86"/>
    </w:pPr>
    <w:rPr>
      <w:rFonts w:asciiTheme="majorHAnsi" w:hAnsiTheme="majorHAnsi" w:eastAsiaTheme="majorEastAsia" w:cstheme="majorBidi"/>
      <w:i/>
      <w:iCs/>
      <w:color w:val="4472C4" w:themeColor="accent1"/>
      <w:spacing w:val="15"/>
      <w:sz w:val="24"/>
      <w:szCs w:val="24"/>
      <w14:textFill>
        <w14:solidFill>
          <w14:schemeClr w14:val="accent1"/>
        </w14:solidFill>
      </w14:textFill>
    </w:rPr>
  </w:style>
  <w:style w:type="paragraph" w:styleId="12">
    <w:name w:val="Title"/>
    <w:basedOn w:val="1"/>
    <w:next w:val="1"/>
    <w:link w:val="24"/>
    <w:qFormat/>
    <w:uiPriority w:val="10"/>
    <w:pPr>
      <w:pBdr>
        <w:bottom w:val="single" w:color="4472C4"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table" w:styleId="14">
    <w:name w:val="Table Grid"/>
    <w:basedOn w:val="13"/>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Emphasis"/>
    <w:basedOn w:val="15"/>
    <w:qFormat/>
    <w:uiPriority w:val="20"/>
    <w:rPr>
      <w:i/>
      <w:i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customStyle="1" w:styleId="18">
    <w:name w:val="页眉 字符"/>
    <w:basedOn w:val="15"/>
    <w:link w:val="9"/>
    <w:qFormat/>
    <w:uiPriority w:val="99"/>
  </w:style>
  <w:style w:type="character" w:customStyle="1" w:styleId="19">
    <w:name w:val="标题 1 字符"/>
    <w:basedOn w:val="15"/>
    <w:link w:val="2"/>
    <w:qFormat/>
    <w:uiPriority w:val="9"/>
    <w:rPr>
      <w:rFonts w:asciiTheme="majorHAnsi" w:hAnsiTheme="majorHAnsi" w:eastAsiaTheme="majorEastAsia" w:cstheme="majorBidi"/>
      <w:b/>
      <w:bCs/>
      <w:color w:val="2F5597" w:themeColor="accent1" w:themeShade="BF"/>
      <w:sz w:val="28"/>
      <w:szCs w:val="28"/>
    </w:rPr>
  </w:style>
  <w:style w:type="character" w:customStyle="1" w:styleId="20">
    <w:name w:val="标题 2 字符"/>
    <w:basedOn w:val="15"/>
    <w:link w:val="3"/>
    <w:qFormat/>
    <w:uiPriority w:val="9"/>
    <w:rPr>
      <w:rFonts w:asciiTheme="majorHAnsi" w:hAnsiTheme="majorHAnsi" w:eastAsiaTheme="majorEastAsia" w:cstheme="majorBidi"/>
      <w:b/>
      <w:bCs/>
      <w:color w:val="4472C4" w:themeColor="accent1"/>
      <w:sz w:val="26"/>
      <w:szCs w:val="26"/>
      <w14:textFill>
        <w14:solidFill>
          <w14:schemeClr w14:val="accent1"/>
        </w14:solidFill>
      </w14:textFill>
    </w:rPr>
  </w:style>
  <w:style w:type="character" w:customStyle="1" w:styleId="21">
    <w:name w:val="标题 3 字符"/>
    <w:basedOn w:val="15"/>
    <w:link w:val="4"/>
    <w:qFormat/>
    <w:uiPriority w:val="9"/>
    <w:rPr>
      <w:rFonts w:asciiTheme="majorHAnsi" w:hAnsiTheme="majorHAnsi" w:eastAsiaTheme="majorEastAsia" w:cstheme="majorBidi"/>
      <w:b/>
      <w:bCs/>
      <w:color w:val="4472C4" w:themeColor="accent1"/>
      <w14:textFill>
        <w14:solidFill>
          <w14:schemeClr w14:val="accent1"/>
        </w14:solidFill>
      </w14:textFill>
    </w:rPr>
  </w:style>
  <w:style w:type="character" w:customStyle="1" w:styleId="22">
    <w:name w:val="标题 4 字符"/>
    <w:basedOn w:val="15"/>
    <w:link w:val="5"/>
    <w:qFormat/>
    <w:uiPriority w:val="9"/>
    <w:rPr>
      <w:rFonts w:asciiTheme="majorHAnsi" w:hAnsiTheme="majorHAnsi" w:eastAsiaTheme="majorEastAsia" w:cstheme="majorBidi"/>
      <w:b/>
      <w:bCs/>
      <w:i/>
      <w:iCs/>
      <w:color w:val="4472C4" w:themeColor="accent1"/>
      <w14:textFill>
        <w14:solidFill>
          <w14:schemeClr w14:val="accent1"/>
        </w14:solidFill>
      </w14:textFill>
    </w:rPr>
  </w:style>
  <w:style w:type="character" w:customStyle="1" w:styleId="23">
    <w:name w:val="副标题 字符"/>
    <w:basedOn w:val="15"/>
    <w:link w:val="11"/>
    <w:qFormat/>
    <w:uiPriority w:val="11"/>
    <w:rPr>
      <w:rFonts w:asciiTheme="majorHAnsi" w:hAnsiTheme="majorHAnsi" w:eastAsiaTheme="majorEastAsia" w:cstheme="majorBidi"/>
      <w:i/>
      <w:iCs/>
      <w:color w:val="4472C4" w:themeColor="accent1"/>
      <w:spacing w:val="15"/>
      <w:sz w:val="24"/>
      <w:szCs w:val="24"/>
      <w14:textFill>
        <w14:solidFill>
          <w14:schemeClr w14:val="accent1"/>
        </w14:solidFill>
      </w14:textFill>
    </w:rPr>
  </w:style>
  <w:style w:type="character" w:customStyle="1" w:styleId="24">
    <w:name w:val="标题 字符"/>
    <w:basedOn w:val="15"/>
    <w:link w:val="12"/>
    <w:qFormat/>
    <w:uiPriority w:val="10"/>
    <w:rPr>
      <w:rFonts w:asciiTheme="majorHAnsi" w:hAnsiTheme="majorHAnsi" w:eastAsiaTheme="majorEastAsia" w:cstheme="majorBidi"/>
      <w:color w:val="333F50" w:themeColor="text2" w:themeShade="BF"/>
      <w:spacing w:val="5"/>
      <w:kern w:val="28"/>
      <w:sz w:val="52"/>
      <w:szCs w:val="52"/>
    </w:rPr>
  </w:style>
  <w:style w:type="character" w:customStyle="1" w:styleId="25">
    <w:name w:val="页脚 字符"/>
    <w:basedOn w:val="15"/>
    <w:link w:val="8"/>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2013</Words>
  <Characters>2342</Characters>
  <Lines>36</Lines>
  <Paragraphs>10</Paragraphs>
  <TotalTime>6</TotalTime>
  <ScaleCrop>false</ScaleCrop>
  <LinksUpToDate>false</LinksUpToDate>
  <CharactersWithSpaces>2349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2025-08-18T14:37:00Z</dcterms:created>
  <dc:creator>Administrator</dc:creator>
  <cp:lastModifiedBy>wlt</cp:lastModifiedBy>
  <dcterms:modified xsi:type="dcterms:W3CDTF">2025-08-28T12:18:45Z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eyJoZGlkIjoiNGU5YTk2NWU3OTRhNTU0YjZlNWE0ODExMjY4YzM0MTgiLCJ1c2VySWQiOiI0MTU4NjEyMTkifQ==</vt:lpwstr>
  </property>
  <property fmtid="{D5CDD505-2E9C-101B-9397-08002B2CF9AE}" pid="3" name="KSOProductBuildVer">
    <vt:lpwstr>2052-11.8.2.10251</vt:lpwstr>
  </property>
  <property fmtid="{D5CDD505-2E9C-101B-9397-08002B2CF9AE}" pid="4" name="ICV">
    <vt:lpwstr>444144032862487790330861736820B7_13</vt:lpwstr>
  </property>
</Properties>
</file>